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3462" w:type="dxa"/>
        <w:tblLook w:val="04A0" w:firstRow="1" w:lastRow="0" w:firstColumn="1" w:lastColumn="0" w:noHBand="0" w:noVBand="1"/>
      </w:tblPr>
      <w:tblGrid>
        <w:gridCol w:w="4106"/>
        <w:gridCol w:w="9356"/>
      </w:tblGrid>
      <w:tr w:rsidR="00B87DE6" w:rsidRPr="007556D1" w14:paraId="74AB86FB" w14:textId="3C9005A2" w:rsidTr="000E377B">
        <w:tc>
          <w:tcPr>
            <w:tcW w:w="4106" w:type="dxa"/>
          </w:tcPr>
          <w:p w14:paraId="22E28E3B" w14:textId="5D537EBC" w:rsidR="00B87DE6" w:rsidRPr="00DB5F09" w:rsidRDefault="00B87DE6">
            <w:pPr>
              <w:rPr>
                <w:rFonts w:ascii="Verdana" w:hAnsi="Verdana"/>
                <w:b/>
                <w:bCs/>
                <w:sz w:val="18"/>
                <w:szCs w:val="18"/>
              </w:rPr>
            </w:pPr>
            <w:r w:rsidRPr="00DB5F09">
              <w:rPr>
                <w:rFonts w:ascii="Verdana" w:hAnsi="Verdana"/>
                <w:b/>
                <w:bCs/>
                <w:sz w:val="18"/>
                <w:szCs w:val="18"/>
              </w:rPr>
              <w:t>Udkast Vandforsyningsloven</w:t>
            </w:r>
          </w:p>
        </w:tc>
        <w:tc>
          <w:tcPr>
            <w:tcW w:w="9356" w:type="dxa"/>
          </w:tcPr>
          <w:p w14:paraId="68773AD5" w14:textId="0B172E6E" w:rsidR="00B87DE6" w:rsidRPr="007556D1" w:rsidRDefault="00B87DE6">
            <w:pPr>
              <w:rPr>
                <w:rFonts w:ascii="Verdana" w:hAnsi="Verdana"/>
                <w:b/>
                <w:bCs/>
                <w:sz w:val="18"/>
                <w:szCs w:val="18"/>
              </w:rPr>
            </w:pPr>
            <w:r w:rsidRPr="007556D1">
              <w:rPr>
                <w:rFonts w:ascii="Verdana" w:hAnsi="Verdana"/>
                <w:b/>
                <w:bCs/>
                <w:sz w:val="18"/>
                <w:szCs w:val="18"/>
              </w:rPr>
              <w:t>Bemærkninger</w:t>
            </w:r>
          </w:p>
        </w:tc>
      </w:tr>
      <w:tr w:rsidR="00B87DE6" w:rsidRPr="007556D1" w14:paraId="26C6F406" w14:textId="14099D6B" w:rsidTr="000E377B">
        <w:tc>
          <w:tcPr>
            <w:tcW w:w="4106" w:type="dxa"/>
          </w:tcPr>
          <w:p w14:paraId="2AE2D0FC" w14:textId="333A7EC3" w:rsidR="00B87DE6" w:rsidRPr="007556D1" w:rsidRDefault="00B87DE6" w:rsidP="0002074B">
            <w:pPr>
              <w:pStyle w:val="Default"/>
              <w:rPr>
                <w:rFonts w:ascii="Verdana" w:hAnsi="Verdana"/>
                <w:sz w:val="18"/>
                <w:szCs w:val="18"/>
              </w:rPr>
            </w:pPr>
            <w:r w:rsidRPr="007556D1">
              <w:rPr>
                <w:rFonts w:ascii="Verdana" w:hAnsi="Verdana"/>
                <w:sz w:val="18"/>
                <w:szCs w:val="18"/>
              </w:rPr>
              <w:t xml:space="preserve">Lovens formål mv. </w:t>
            </w:r>
          </w:p>
        </w:tc>
        <w:tc>
          <w:tcPr>
            <w:tcW w:w="9356" w:type="dxa"/>
          </w:tcPr>
          <w:p w14:paraId="5B1CD67C" w14:textId="46726D9C" w:rsidR="00B87DE6" w:rsidRPr="007556D1" w:rsidRDefault="00B87DE6" w:rsidP="00946D28">
            <w:pPr>
              <w:rPr>
                <w:rFonts w:ascii="Verdana" w:hAnsi="Verdana"/>
                <w:sz w:val="18"/>
                <w:szCs w:val="18"/>
              </w:rPr>
            </w:pPr>
            <w:r w:rsidRPr="007556D1">
              <w:rPr>
                <w:rFonts w:ascii="Verdana" w:hAnsi="Verdana"/>
                <w:sz w:val="18"/>
                <w:szCs w:val="18"/>
              </w:rPr>
              <w:t xml:space="preserve">Helt overordnet: definitioner §10 ikke konsistens i definitionerne – konsekvensrettelser som følge af ny definition af drikkevand ny definition af tilstrømningsområder / </w:t>
            </w:r>
            <w:proofErr w:type="spellStart"/>
            <w:r w:rsidRPr="007556D1">
              <w:rPr>
                <w:rFonts w:ascii="Verdana" w:hAnsi="Verdana"/>
                <w:sz w:val="18"/>
                <w:szCs w:val="18"/>
              </w:rPr>
              <w:t>indvindingsoplande</w:t>
            </w:r>
            <w:proofErr w:type="spellEnd"/>
            <w:r w:rsidRPr="007556D1">
              <w:rPr>
                <w:rFonts w:ascii="Verdana" w:hAnsi="Verdana"/>
                <w:sz w:val="18"/>
                <w:szCs w:val="18"/>
              </w:rPr>
              <w:t xml:space="preserve"> igennem hele loven</w:t>
            </w:r>
          </w:p>
          <w:p w14:paraId="5A7822D2" w14:textId="6A7EE9B2" w:rsidR="00B87DE6" w:rsidRPr="007556D1" w:rsidRDefault="00B87DE6" w:rsidP="0045734B">
            <w:pPr>
              <w:rPr>
                <w:rFonts w:ascii="Verdana" w:hAnsi="Verdana"/>
                <w:sz w:val="18"/>
                <w:szCs w:val="18"/>
              </w:rPr>
            </w:pPr>
          </w:p>
        </w:tc>
      </w:tr>
      <w:tr w:rsidR="00B87DE6" w:rsidRPr="007556D1" w14:paraId="37A83853" w14:textId="3196E59B" w:rsidTr="000E377B">
        <w:tc>
          <w:tcPr>
            <w:tcW w:w="4106" w:type="dxa"/>
          </w:tcPr>
          <w:p w14:paraId="10EB223A" w14:textId="2EE3DBDE" w:rsidR="00B87DE6" w:rsidRPr="007556D1" w:rsidRDefault="00B87DE6" w:rsidP="00AF2ECA">
            <w:pPr>
              <w:rPr>
                <w:rFonts w:ascii="Verdana" w:hAnsi="Verdana"/>
                <w:b/>
                <w:bCs/>
                <w:sz w:val="18"/>
                <w:szCs w:val="18"/>
              </w:rPr>
            </w:pPr>
            <w:r w:rsidRPr="007556D1">
              <w:rPr>
                <w:rFonts w:ascii="Verdana" w:hAnsi="Verdana"/>
                <w:b/>
                <w:bCs/>
                <w:sz w:val="18"/>
                <w:szCs w:val="18"/>
              </w:rPr>
              <w:t>§1</w:t>
            </w:r>
          </w:p>
          <w:p w14:paraId="62ACF598" w14:textId="366680AA" w:rsidR="00B87DE6" w:rsidRPr="007556D1" w:rsidRDefault="00B87DE6" w:rsidP="00AF2ECA">
            <w:pPr>
              <w:rPr>
                <w:rFonts w:ascii="Verdana" w:hAnsi="Verdana"/>
                <w:sz w:val="18"/>
                <w:szCs w:val="18"/>
              </w:rPr>
            </w:pPr>
          </w:p>
        </w:tc>
        <w:tc>
          <w:tcPr>
            <w:tcW w:w="9356" w:type="dxa"/>
          </w:tcPr>
          <w:p w14:paraId="2056BE62" w14:textId="14AD1E13" w:rsidR="00B87DE6" w:rsidRPr="007556D1" w:rsidRDefault="00B87DE6">
            <w:pPr>
              <w:rPr>
                <w:rFonts w:ascii="Verdana" w:hAnsi="Verdana"/>
                <w:sz w:val="18"/>
                <w:szCs w:val="18"/>
              </w:rPr>
            </w:pPr>
            <w:r w:rsidRPr="007556D1">
              <w:rPr>
                <w:rFonts w:ascii="Verdana" w:hAnsi="Verdana"/>
                <w:sz w:val="18"/>
                <w:szCs w:val="18"/>
              </w:rPr>
              <w:t>Ændringer i lovens formål, sundt og rent og forbedret adgang til drikkevand. Sundt og rent er vel at sidestille med overholdelse af kvalitetskrav og indikatorparametre</w:t>
            </w:r>
          </w:p>
        </w:tc>
      </w:tr>
      <w:tr w:rsidR="00B87DE6" w:rsidRPr="007556D1" w14:paraId="50A80D47" w14:textId="02F89CC2" w:rsidTr="000E377B">
        <w:tc>
          <w:tcPr>
            <w:tcW w:w="4106" w:type="dxa"/>
          </w:tcPr>
          <w:p w14:paraId="65732420" w14:textId="3A4EED48" w:rsidR="00B87DE6" w:rsidRPr="007556D1" w:rsidRDefault="00B87DE6" w:rsidP="00306C4A">
            <w:pPr>
              <w:pStyle w:val="Default"/>
              <w:rPr>
                <w:rFonts w:ascii="Verdana" w:hAnsi="Verdana"/>
                <w:sz w:val="18"/>
                <w:szCs w:val="18"/>
              </w:rPr>
            </w:pPr>
            <w:r w:rsidRPr="007556D1">
              <w:rPr>
                <w:rFonts w:ascii="Verdana" w:hAnsi="Verdana"/>
                <w:b/>
                <w:bCs/>
                <w:sz w:val="18"/>
                <w:szCs w:val="18"/>
              </w:rPr>
              <w:t xml:space="preserve">§ 1 b </w:t>
            </w:r>
          </w:p>
        </w:tc>
        <w:tc>
          <w:tcPr>
            <w:tcW w:w="9356" w:type="dxa"/>
          </w:tcPr>
          <w:p w14:paraId="0D3DBCEA" w14:textId="437E461D" w:rsidR="00B87DE6" w:rsidRPr="007556D1" w:rsidRDefault="00B87DE6" w:rsidP="00306C4A">
            <w:pPr>
              <w:rPr>
                <w:rFonts w:ascii="Verdana" w:hAnsi="Verdana"/>
                <w:sz w:val="18"/>
                <w:szCs w:val="18"/>
              </w:rPr>
            </w:pPr>
            <w:r w:rsidRPr="007556D1">
              <w:rPr>
                <w:rFonts w:ascii="Verdana" w:hAnsi="Verdana"/>
                <w:sz w:val="18"/>
                <w:szCs w:val="18"/>
              </w:rPr>
              <w:t xml:space="preserve">Hvad betyder dette, den kan da være ret stor, </w:t>
            </w:r>
          </w:p>
        </w:tc>
      </w:tr>
      <w:tr w:rsidR="00B87DE6" w:rsidRPr="007556D1" w14:paraId="6AD0214D" w14:textId="7031385D" w:rsidTr="000E377B">
        <w:tc>
          <w:tcPr>
            <w:tcW w:w="4106" w:type="dxa"/>
          </w:tcPr>
          <w:p w14:paraId="44E71B1B" w14:textId="76769BE0" w:rsidR="00B87DE6" w:rsidRPr="007556D1" w:rsidRDefault="00B87DE6" w:rsidP="00946D28">
            <w:pPr>
              <w:pStyle w:val="Default"/>
              <w:rPr>
                <w:rFonts w:ascii="Verdana" w:hAnsi="Verdana"/>
                <w:sz w:val="18"/>
                <w:szCs w:val="18"/>
              </w:rPr>
            </w:pPr>
            <w:r w:rsidRPr="007556D1">
              <w:rPr>
                <w:rFonts w:ascii="Verdana" w:hAnsi="Verdana"/>
                <w:b/>
                <w:bCs/>
                <w:sz w:val="18"/>
                <w:szCs w:val="18"/>
              </w:rPr>
              <w:t>§ 3</w:t>
            </w:r>
          </w:p>
          <w:p w14:paraId="5F4E196E" w14:textId="77777777" w:rsidR="00B87DE6" w:rsidRPr="007556D1" w:rsidRDefault="00B87DE6" w:rsidP="00306C4A">
            <w:pPr>
              <w:pStyle w:val="Default"/>
              <w:rPr>
                <w:rFonts w:ascii="Verdana" w:hAnsi="Verdana"/>
                <w:b/>
                <w:bCs/>
                <w:sz w:val="18"/>
                <w:szCs w:val="18"/>
              </w:rPr>
            </w:pPr>
          </w:p>
        </w:tc>
        <w:tc>
          <w:tcPr>
            <w:tcW w:w="9356" w:type="dxa"/>
          </w:tcPr>
          <w:p w14:paraId="3CDEEEBE" w14:textId="77777777" w:rsidR="00B87DE6" w:rsidRPr="007556D1" w:rsidRDefault="00B87DE6" w:rsidP="00306C4A">
            <w:pPr>
              <w:rPr>
                <w:rFonts w:ascii="Verdana" w:hAnsi="Verdana"/>
                <w:sz w:val="18"/>
                <w:szCs w:val="18"/>
              </w:rPr>
            </w:pPr>
            <w:r w:rsidRPr="007556D1">
              <w:rPr>
                <w:rFonts w:ascii="Verdana" w:hAnsi="Verdana"/>
                <w:sz w:val="18"/>
                <w:szCs w:val="18"/>
              </w:rPr>
              <w:t xml:space="preserve">Definitionen af drikkevand er ændret så alle kilder kan bruges til drikkevand uanset oprindelse. Hvis det efter behandling er egnet til </w:t>
            </w:r>
            <w:proofErr w:type="gramStart"/>
            <w:r w:rsidRPr="007556D1">
              <w:rPr>
                <w:rFonts w:ascii="Verdana" w:hAnsi="Verdana"/>
                <w:sz w:val="18"/>
                <w:szCs w:val="18"/>
              </w:rPr>
              <w:t>drikkebrug</w:t>
            </w:r>
            <w:proofErr w:type="gramEnd"/>
            <w:r w:rsidRPr="007556D1">
              <w:rPr>
                <w:rFonts w:ascii="Verdana" w:hAnsi="Verdana"/>
                <w:sz w:val="18"/>
                <w:szCs w:val="18"/>
              </w:rPr>
              <w:t xml:space="preserve"> så er det drikkevand.</w:t>
            </w:r>
          </w:p>
          <w:p w14:paraId="7C11C147" w14:textId="77777777" w:rsidR="00B87DE6" w:rsidRPr="007556D1" w:rsidRDefault="00B87DE6" w:rsidP="00306C4A">
            <w:pPr>
              <w:rPr>
                <w:rFonts w:ascii="Verdana" w:hAnsi="Verdana"/>
                <w:b/>
                <w:bCs/>
                <w:sz w:val="18"/>
                <w:szCs w:val="18"/>
              </w:rPr>
            </w:pPr>
          </w:p>
          <w:p w14:paraId="52328CBE" w14:textId="62057FB6" w:rsidR="00B87DE6" w:rsidRPr="007556D1" w:rsidRDefault="00B87DE6" w:rsidP="00306C4A">
            <w:pPr>
              <w:rPr>
                <w:rFonts w:ascii="Verdana" w:hAnsi="Verdana"/>
                <w:sz w:val="18"/>
                <w:szCs w:val="18"/>
              </w:rPr>
            </w:pPr>
            <w:r w:rsidRPr="007556D1">
              <w:rPr>
                <w:rFonts w:ascii="Verdana" w:hAnsi="Verdana"/>
                <w:sz w:val="18"/>
                <w:szCs w:val="18"/>
              </w:rPr>
              <w:t xml:space="preserve">Alle definitioner skal med så må de være i et bilag, pt. ligger definitionerne i både love bekendtgørelse eller vejledning. </w:t>
            </w:r>
          </w:p>
        </w:tc>
      </w:tr>
      <w:tr w:rsidR="00B87DE6" w:rsidRPr="007556D1" w14:paraId="7025B77F" w14:textId="29109F9F" w:rsidTr="000E377B">
        <w:tc>
          <w:tcPr>
            <w:tcW w:w="4106" w:type="dxa"/>
          </w:tcPr>
          <w:p w14:paraId="4325A3AF" w14:textId="78493D60" w:rsidR="00B87DE6" w:rsidRPr="007556D1" w:rsidRDefault="00B87DE6" w:rsidP="00306C4A">
            <w:pPr>
              <w:pStyle w:val="Default"/>
              <w:rPr>
                <w:rFonts w:ascii="Verdana" w:hAnsi="Verdana"/>
                <w:sz w:val="18"/>
                <w:szCs w:val="18"/>
              </w:rPr>
            </w:pPr>
            <w:r w:rsidRPr="007556D1">
              <w:rPr>
                <w:rFonts w:ascii="Verdana" w:hAnsi="Verdana"/>
                <w:sz w:val="18"/>
                <w:szCs w:val="18"/>
              </w:rPr>
              <w:t>Almindelige bestemmelser</w:t>
            </w:r>
          </w:p>
        </w:tc>
        <w:tc>
          <w:tcPr>
            <w:tcW w:w="9356" w:type="dxa"/>
          </w:tcPr>
          <w:p w14:paraId="16053A62" w14:textId="77777777" w:rsidR="00B87DE6" w:rsidRPr="007556D1" w:rsidRDefault="00B87DE6" w:rsidP="00306C4A">
            <w:pPr>
              <w:rPr>
                <w:rFonts w:ascii="Verdana" w:hAnsi="Verdana"/>
                <w:sz w:val="18"/>
                <w:szCs w:val="18"/>
              </w:rPr>
            </w:pPr>
          </w:p>
        </w:tc>
      </w:tr>
      <w:tr w:rsidR="00B87DE6" w:rsidRPr="007556D1" w14:paraId="0E9794AB" w14:textId="0A615A7B" w:rsidTr="000E377B">
        <w:tc>
          <w:tcPr>
            <w:tcW w:w="4106" w:type="dxa"/>
          </w:tcPr>
          <w:p w14:paraId="0A7436A2" w14:textId="00F1AD6A" w:rsidR="00B87DE6" w:rsidRPr="007556D1" w:rsidRDefault="00B87DE6" w:rsidP="00306C4A">
            <w:pPr>
              <w:pStyle w:val="Default"/>
              <w:rPr>
                <w:rFonts w:ascii="Verdana" w:hAnsi="Verdana"/>
                <w:b/>
                <w:bCs/>
                <w:sz w:val="18"/>
                <w:szCs w:val="18"/>
              </w:rPr>
            </w:pPr>
            <w:r w:rsidRPr="007556D1">
              <w:rPr>
                <w:rFonts w:ascii="Verdana" w:hAnsi="Verdana"/>
                <w:b/>
                <w:bCs/>
                <w:sz w:val="18"/>
                <w:szCs w:val="18"/>
              </w:rPr>
              <w:t xml:space="preserve">§ 9 a </w:t>
            </w:r>
          </w:p>
        </w:tc>
        <w:tc>
          <w:tcPr>
            <w:tcW w:w="9356" w:type="dxa"/>
          </w:tcPr>
          <w:p w14:paraId="2760A8E3" w14:textId="52966F35" w:rsidR="00B87DE6" w:rsidRPr="007556D1" w:rsidRDefault="00B87DE6" w:rsidP="00306C4A">
            <w:pPr>
              <w:rPr>
                <w:rFonts w:ascii="Verdana" w:hAnsi="Verdana"/>
                <w:sz w:val="18"/>
                <w:szCs w:val="18"/>
              </w:rPr>
            </w:pPr>
            <w:r w:rsidRPr="007556D1">
              <w:rPr>
                <w:rFonts w:ascii="Verdana" w:hAnsi="Verdana"/>
                <w:sz w:val="18"/>
                <w:szCs w:val="18"/>
              </w:rPr>
              <w:t xml:space="preserve">Koordinering med digitaliseringsstrategien, forventes at der kan anvendes indberetningssystemer vi allerede </w:t>
            </w:r>
            <w:proofErr w:type="gramStart"/>
            <w:r w:rsidRPr="007556D1">
              <w:rPr>
                <w:rFonts w:ascii="Verdana" w:hAnsi="Verdana"/>
                <w:sz w:val="18"/>
                <w:szCs w:val="18"/>
              </w:rPr>
              <w:t>har....</w:t>
            </w:r>
            <w:proofErr w:type="gramEnd"/>
            <w:r w:rsidRPr="007556D1">
              <w:rPr>
                <w:rFonts w:ascii="Verdana" w:hAnsi="Verdana"/>
                <w:sz w:val="18"/>
                <w:szCs w:val="18"/>
              </w:rPr>
              <w:t>indberetninger i relation til en myndighedsopgave bør gå via myndigheden.</w:t>
            </w:r>
          </w:p>
        </w:tc>
      </w:tr>
      <w:tr w:rsidR="00B87DE6" w:rsidRPr="007556D1" w14:paraId="53CB2622" w14:textId="3E0B54B1" w:rsidTr="000E377B">
        <w:tc>
          <w:tcPr>
            <w:tcW w:w="4106" w:type="dxa"/>
          </w:tcPr>
          <w:p w14:paraId="72F7D7FF" w14:textId="2DFD1A99" w:rsidR="00B87DE6" w:rsidRPr="007556D1" w:rsidRDefault="00B87DE6" w:rsidP="00306C4A">
            <w:pPr>
              <w:pStyle w:val="Default"/>
              <w:rPr>
                <w:rFonts w:ascii="Verdana" w:hAnsi="Verdana"/>
                <w:sz w:val="18"/>
                <w:szCs w:val="18"/>
              </w:rPr>
            </w:pPr>
            <w:r w:rsidRPr="007556D1">
              <w:rPr>
                <w:rFonts w:ascii="Verdana" w:hAnsi="Verdana"/>
                <w:sz w:val="18"/>
                <w:szCs w:val="18"/>
              </w:rPr>
              <w:t>Planlægning</w:t>
            </w:r>
          </w:p>
        </w:tc>
        <w:tc>
          <w:tcPr>
            <w:tcW w:w="9356" w:type="dxa"/>
          </w:tcPr>
          <w:p w14:paraId="29263B83" w14:textId="77777777" w:rsidR="00B87DE6" w:rsidRPr="007556D1" w:rsidRDefault="00B87DE6" w:rsidP="00306C4A">
            <w:pPr>
              <w:rPr>
                <w:rFonts w:ascii="Verdana" w:hAnsi="Verdana"/>
                <w:sz w:val="18"/>
                <w:szCs w:val="18"/>
              </w:rPr>
            </w:pPr>
          </w:p>
        </w:tc>
      </w:tr>
      <w:tr w:rsidR="00B87DE6" w:rsidRPr="007556D1" w14:paraId="2D98428F" w14:textId="0EBD1F72" w:rsidTr="000E377B">
        <w:tc>
          <w:tcPr>
            <w:tcW w:w="4106" w:type="dxa"/>
          </w:tcPr>
          <w:p w14:paraId="7679E17F" w14:textId="75A2375A" w:rsidR="00B87DE6" w:rsidRPr="007556D1" w:rsidRDefault="00B87DE6" w:rsidP="0082179A">
            <w:pPr>
              <w:pStyle w:val="Default"/>
              <w:rPr>
                <w:rFonts w:ascii="Verdana" w:hAnsi="Verdana"/>
                <w:b/>
                <w:bCs/>
                <w:sz w:val="18"/>
                <w:szCs w:val="18"/>
              </w:rPr>
            </w:pPr>
            <w:r w:rsidRPr="007556D1">
              <w:rPr>
                <w:rFonts w:ascii="Verdana" w:hAnsi="Verdana"/>
                <w:b/>
                <w:bCs/>
                <w:sz w:val="18"/>
                <w:szCs w:val="18"/>
              </w:rPr>
              <w:t>§ 10 a</w:t>
            </w:r>
            <w:r w:rsidRPr="007556D1">
              <w:rPr>
                <w:rFonts w:ascii="Verdana" w:hAnsi="Verdana"/>
                <w:sz w:val="18"/>
                <w:szCs w:val="18"/>
              </w:rPr>
              <w:t xml:space="preserve">. </w:t>
            </w:r>
          </w:p>
          <w:p w14:paraId="5D7983DC" w14:textId="293FC5FD" w:rsidR="00B87DE6" w:rsidRPr="007556D1" w:rsidRDefault="00B87DE6" w:rsidP="0082179A">
            <w:pPr>
              <w:pStyle w:val="Default"/>
              <w:rPr>
                <w:rFonts w:ascii="Verdana" w:hAnsi="Verdana"/>
                <w:b/>
                <w:bCs/>
                <w:sz w:val="18"/>
                <w:szCs w:val="18"/>
              </w:rPr>
            </w:pPr>
          </w:p>
        </w:tc>
        <w:tc>
          <w:tcPr>
            <w:tcW w:w="9356" w:type="dxa"/>
          </w:tcPr>
          <w:p w14:paraId="19C485D6" w14:textId="1EE5355A" w:rsidR="00B87DE6" w:rsidRPr="007556D1" w:rsidRDefault="007556D1" w:rsidP="0082179A">
            <w:pPr>
              <w:rPr>
                <w:rFonts w:ascii="Verdana" w:hAnsi="Verdana"/>
                <w:sz w:val="18"/>
                <w:szCs w:val="18"/>
              </w:rPr>
            </w:pPr>
            <w:r>
              <w:rPr>
                <w:rFonts w:ascii="Verdana" w:hAnsi="Verdana"/>
                <w:sz w:val="18"/>
                <w:szCs w:val="18"/>
              </w:rPr>
              <w:t>Tilstrømningsområder er behandlet i høringssvaret, herunder følger detaljerede bemærkninger til høringsmaterialet.</w:t>
            </w:r>
          </w:p>
        </w:tc>
      </w:tr>
    </w:tbl>
    <w:tbl>
      <w:tblPr>
        <w:tblW w:w="13467" w:type="dxa"/>
        <w:tblInd w:w="-10" w:type="dxa"/>
        <w:tblCellMar>
          <w:left w:w="0" w:type="dxa"/>
          <w:right w:w="0" w:type="dxa"/>
        </w:tblCellMar>
        <w:tblLook w:val="04A0" w:firstRow="1" w:lastRow="0" w:firstColumn="1" w:lastColumn="0" w:noHBand="0" w:noVBand="1"/>
      </w:tblPr>
      <w:tblGrid>
        <w:gridCol w:w="4111"/>
        <w:gridCol w:w="9356"/>
      </w:tblGrid>
      <w:tr w:rsidR="007556D1" w:rsidRPr="007556D1" w14:paraId="04BFC7B8"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48FFA" w14:textId="255AE39E" w:rsidR="007556D1" w:rsidRPr="007556D1" w:rsidRDefault="007556D1" w:rsidP="002E519E">
            <w:pPr>
              <w:rPr>
                <w:rFonts w:ascii="Verdana" w:hAnsi="Verdana"/>
                <w:sz w:val="18"/>
                <w:szCs w:val="18"/>
              </w:rPr>
            </w:pPr>
            <w:r w:rsidRPr="007556D1">
              <w:rPr>
                <w:rFonts w:ascii="Verdana" w:hAnsi="Verdana"/>
                <w:i/>
                <w:iCs/>
                <w:sz w:val="18"/>
                <w:szCs w:val="18"/>
              </w:rPr>
              <w:t>3.1.1.2. Bemærkninger</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25B75189" w14:textId="3B1920CC" w:rsidR="007556D1" w:rsidRPr="007556D1" w:rsidRDefault="007556D1" w:rsidP="002E519E">
            <w:pPr>
              <w:rPr>
                <w:rFonts w:ascii="Verdana" w:hAnsi="Verdana"/>
                <w:sz w:val="18"/>
                <w:szCs w:val="18"/>
              </w:rPr>
            </w:pPr>
            <w:r w:rsidRPr="007556D1">
              <w:rPr>
                <w:rFonts w:ascii="Verdana" w:hAnsi="Verdana"/>
                <w:sz w:val="18"/>
                <w:szCs w:val="18"/>
              </w:rPr>
              <w:t xml:space="preserve">Side 42 Hvis det åbenbart helt centrale begreb tilstrømningsområde ikke er defineret, kan det blive en tvist at finde ud af, hvad begrebet omfatter (1-, 10-, 100 eller </w:t>
            </w:r>
            <w:proofErr w:type="gramStart"/>
            <w:r w:rsidRPr="007556D1">
              <w:rPr>
                <w:rFonts w:ascii="Verdana" w:hAnsi="Verdana"/>
                <w:sz w:val="18"/>
                <w:szCs w:val="18"/>
              </w:rPr>
              <w:t>200 årigt</w:t>
            </w:r>
            <w:proofErr w:type="gramEnd"/>
            <w:r w:rsidRPr="007556D1">
              <w:rPr>
                <w:rFonts w:ascii="Verdana" w:hAnsi="Verdana"/>
                <w:sz w:val="18"/>
                <w:szCs w:val="18"/>
              </w:rPr>
              <w:t xml:space="preserve"> tilstrømningsområde?) </w:t>
            </w:r>
          </w:p>
        </w:tc>
      </w:tr>
      <w:tr w:rsidR="007556D1" w:rsidRPr="007556D1" w14:paraId="0CBF5A1D"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D943E" w14:textId="77777777" w:rsidR="007556D1" w:rsidRPr="007556D1" w:rsidRDefault="007556D1" w:rsidP="002E519E">
            <w:pPr>
              <w:rPr>
                <w:rFonts w:ascii="Verdana" w:hAnsi="Verdana"/>
                <w:i/>
                <w:iCs/>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327D51FE" w14:textId="616D59C1" w:rsidR="007556D1" w:rsidRPr="007556D1" w:rsidRDefault="007556D1" w:rsidP="002E519E">
            <w:pPr>
              <w:rPr>
                <w:rFonts w:ascii="Verdana" w:hAnsi="Verdana"/>
                <w:sz w:val="18"/>
                <w:szCs w:val="18"/>
              </w:rPr>
            </w:pPr>
            <w:r w:rsidRPr="007556D1">
              <w:rPr>
                <w:rFonts w:ascii="Verdana" w:hAnsi="Verdana"/>
                <w:sz w:val="18"/>
                <w:szCs w:val="18"/>
              </w:rPr>
              <w:t>Side 42 Skal en ”farlig hændelse” forstås udtømmende, sådan at det er en enhver tænkelig fare – eller gængse, større og måske endda allerede kendte faremomenter, som vurderes?</w:t>
            </w:r>
          </w:p>
        </w:tc>
      </w:tr>
      <w:tr w:rsidR="007556D1" w:rsidRPr="007556D1" w14:paraId="11295B1D"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F0C009"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3ECC1F47" w14:textId="1EB49C1C" w:rsidR="007556D1" w:rsidRPr="007556D1" w:rsidRDefault="007556D1" w:rsidP="002E519E">
            <w:pPr>
              <w:rPr>
                <w:rFonts w:ascii="Verdana" w:hAnsi="Verdana"/>
                <w:sz w:val="18"/>
                <w:szCs w:val="18"/>
              </w:rPr>
            </w:pPr>
            <w:r w:rsidRPr="007556D1">
              <w:rPr>
                <w:rFonts w:ascii="Verdana" w:hAnsi="Verdana"/>
                <w:sz w:val="18"/>
                <w:szCs w:val="18"/>
              </w:rPr>
              <w:t>Side 43 Hvordan bedømmes – og hvem bedømmer - alvoren af konsekvenserne, hvis faren og den farlige hændelse indtræffer i drikkevandsforsyningssystemet?</w:t>
            </w:r>
          </w:p>
          <w:p w14:paraId="37D8BF22" w14:textId="77777777" w:rsidR="007556D1" w:rsidRPr="007556D1" w:rsidRDefault="007556D1" w:rsidP="002E519E">
            <w:pPr>
              <w:rPr>
                <w:rFonts w:ascii="Verdana" w:hAnsi="Verdana"/>
                <w:sz w:val="18"/>
                <w:szCs w:val="18"/>
              </w:rPr>
            </w:pPr>
            <w:r w:rsidRPr="007556D1">
              <w:rPr>
                <w:rFonts w:ascii="Verdana" w:hAnsi="Verdana"/>
                <w:sz w:val="18"/>
                <w:szCs w:val="18"/>
              </w:rPr>
              <w:t>Og hvordan er sammenhængen til anden lovgivning, fx jordvarmeboringer reguleret i Jordvarmebekendtgørelsen?</w:t>
            </w:r>
          </w:p>
        </w:tc>
      </w:tr>
      <w:tr w:rsidR="007556D1" w:rsidRPr="007556D1" w14:paraId="269C08DB"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992041"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7E79ED92" w14:textId="710CDCFA" w:rsidR="007556D1" w:rsidRPr="007556D1" w:rsidRDefault="007556D1" w:rsidP="002E519E">
            <w:pPr>
              <w:rPr>
                <w:rFonts w:ascii="Verdana" w:hAnsi="Verdana"/>
                <w:sz w:val="18"/>
                <w:szCs w:val="18"/>
              </w:rPr>
            </w:pPr>
            <w:r w:rsidRPr="007556D1">
              <w:rPr>
                <w:rFonts w:ascii="Verdana" w:hAnsi="Verdana"/>
                <w:sz w:val="18"/>
                <w:szCs w:val="18"/>
              </w:rPr>
              <w:t xml:space="preserve">Side 44 Hvoraf fremgår hjemmel til at få forurener til at samarbejde med vandforsyningen og andre interessenter? Der er et afsnit om </w:t>
            </w:r>
            <w:proofErr w:type="spellStart"/>
            <w:r w:rsidRPr="007556D1">
              <w:rPr>
                <w:rFonts w:ascii="Verdana" w:hAnsi="Verdana"/>
                <w:sz w:val="18"/>
                <w:szCs w:val="18"/>
              </w:rPr>
              <w:t>miljøskade</w:t>
            </w:r>
            <w:proofErr w:type="spellEnd"/>
            <w:r w:rsidRPr="007556D1">
              <w:rPr>
                <w:rFonts w:ascii="Verdana" w:hAnsi="Verdana"/>
                <w:sz w:val="18"/>
                <w:szCs w:val="18"/>
              </w:rPr>
              <w:t xml:space="preserve"> i vandforsyningsloven, men er det udtømmende for dette? Det må være kommunalbestyrelsen, der skal pålægge forurener dette? </w:t>
            </w:r>
          </w:p>
        </w:tc>
      </w:tr>
      <w:tr w:rsidR="007556D1" w:rsidRPr="007556D1" w14:paraId="2ED2CDE6"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0C7520"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7B817A21" w14:textId="75727E64" w:rsidR="007556D1" w:rsidRPr="007556D1" w:rsidRDefault="007556D1" w:rsidP="002E519E">
            <w:pPr>
              <w:rPr>
                <w:rFonts w:ascii="Verdana" w:hAnsi="Verdana"/>
                <w:i/>
                <w:iCs/>
                <w:sz w:val="18"/>
                <w:szCs w:val="18"/>
              </w:rPr>
            </w:pPr>
            <w:r w:rsidRPr="007556D1">
              <w:rPr>
                <w:rFonts w:ascii="Verdana" w:hAnsi="Verdana"/>
                <w:i/>
                <w:iCs/>
                <w:sz w:val="18"/>
                <w:szCs w:val="18"/>
              </w:rPr>
              <w:t>Side 45 Det anføres tillige, at den risikobaserede tilgang bør sikre en løbende udveksling af oplysninger mellem kompetente myndigheder og vandforsyninger.</w:t>
            </w:r>
          </w:p>
          <w:p w14:paraId="31373AAD" w14:textId="77777777" w:rsidR="007556D1" w:rsidRPr="007556D1" w:rsidRDefault="007556D1" w:rsidP="002E519E">
            <w:pPr>
              <w:rPr>
                <w:rFonts w:ascii="Verdana" w:hAnsi="Verdana"/>
                <w:sz w:val="18"/>
                <w:szCs w:val="18"/>
              </w:rPr>
            </w:pPr>
            <w:r w:rsidRPr="007556D1">
              <w:rPr>
                <w:rFonts w:ascii="Verdana" w:hAnsi="Verdana"/>
                <w:sz w:val="18"/>
                <w:szCs w:val="18"/>
              </w:rPr>
              <w:t xml:space="preserve">Hvem er ansvarlig for og drivkraft i </w:t>
            </w:r>
            <w:proofErr w:type="gramStart"/>
            <w:r w:rsidRPr="007556D1">
              <w:rPr>
                <w:rFonts w:ascii="Verdana" w:hAnsi="Verdana"/>
                <w:sz w:val="18"/>
                <w:szCs w:val="18"/>
              </w:rPr>
              <w:t>dette ?</w:t>
            </w:r>
            <w:proofErr w:type="gramEnd"/>
          </w:p>
        </w:tc>
      </w:tr>
      <w:tr w:rsidR="007556D1" w:rsidRPr="007556D1" w14:paraId="4BCA2D7D"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31BC3B"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77B7D9D6" w14:textId="456A96A8" w:rsidR="007556D1" w:rsidRPr="007556D1" w:rsidRDefault="007556D1" w:rsidP="002E519E">
            <w:pPr>
              <w:rPr>
                <w:rFonts w:ascii="Verdana" w:hAnsi="Verdana"/>
                <w:i/>
                <w:iCs/>
                <w:sz w:val="18"/>
                <w:szCs w:val="18"/>
              </w:rPr>
            </w:pPr>
            <w:proofErr w:type="gramStart"/>
            <w:r w:rsidRPr="007556D1">
              <w:rPr>
                <w:rFonts w:ascii="Verdana" w:hAnsi="Verdana"/>
                <w:i/>
                <w:iCs/>
                <w:sz w:val="18"/>
                <w:szCs w:val="18"/>
              </w:rPr>
              <w:t>Side  45</w:t>
            </w:r>
            <w:proofErr w:type="gramEnd"/>
            <w:r w:rsidRPr="007556D1">
              <w:rPr>
                <w:rFonts w:ascii="Verdana" w:hAnsi="Verdana"/>
                <w:i/>
                <w:iCs/>
                <w:sz w:val="18"/>
                <w:szCs w:val="18"/>
              </w:rPr>
              <w:t xml:space="preserve"> Det anføres i præambelbetragtning 17, at risikovurdering og risikostyring af tilstrømningsområderne for indvindingssteder bør følge en helhedsorienteret tilgang og tilsigte at gøre fremstillingen af drikkevand mindre behandlingskrævende, eksempelvis ved at mindske </w:t>
            </w:r>
            <w:r w:rsidRPr="007556D1">
              <w:rPr>
                <w:rFonts w:ascii="Verdana" w:hAnsi="Verdana"/>
                <w:i/>
                <w:iCs/>
                <w:sz w:val="18"/>
                <w:szCs w:val="18"/>
              </w:rPr>
              <w:lastRenderedPageBreak/>
              <w:t>belastninger, som forurener, eller risikerer at forurene, vandområder, der benyttes til indvinding af drikkevand. Medlemsstaterne bør til dette formål karakterisere tilstrømningsområderne for indvindingssteder og identificere farer og farlige hændelser, der kan medføre forringelse af vandkvaliteten, såsom mulige forureningskilder i forbindelse med de pågældende tilstrømningsområder.</w:t>
            </w:r>
          </w:p>
          <w:p w14:paraId="632CE140" w14:textId="77777777" w:rsidR="007556D1" w:rsidRPr="007556D1" w:rsidRDefault="007556D1" w:rsidP="002E519E">
            <w:pPr>
              <w:rPr>
                <w:rFonts w:ascii="Verdana" w:hAnsi="Verdana"/>
                <w:sz w:val="18"/>
                <w:szCs w:val="18"/>
              </w:rPr>
            </w:pPr>
            <w:r w:rsidRPr="007556D1">
              <w:rPr>
                <w:rFonts w:ascii="Verdana" w:hAnsi="Verdana"/>
                <w:sz w:val="18"/>
                <w:szCs w:val="18"/>
              </w:rPr>
              <w:t>Hvis 98% af DK’s areal er omfattet af drikkevandsmagasiner – hvordan skal nedenstående så forstås? Vil der skulle udarbejdes risikovurdering for 98% af arealet?</w:t>
            </w:r>
          </w:p>
        </w:tc>
      </w:tr>
      <w:tr w:rsidR="007556D1" w:rsidRPr="007556D1" w14:paraId="68D16D0B"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3FFB10"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3BB4986E" w14:textId="368964B2" w:rsidR="007556D1" w:rsidRPr="007556D1" w:rsidRDefault="007556D1" w:rsidP="002E519E">
            <w:pPr>
              <w:rPr>
                <w:rFonts w:ascii="Verdana" w:hAnsi="Verdana"/>
                <w:i/>
                <w:iCs/>
                <w:sz w:val="18"/>
                <w:szCs w:val="18"/>
              </w:rPr>
            </w:pPr>
            <w:r w:rsidRPr="007556D1">
              <w:rPr>
                <w:rFonts w:ascii="Verdana" w:hAnsi="Verdana"/>
                <w:i/>
                <w:iCs/>
                <w:sz w:val="18"/>
                <w:szCs w:val="18"/>
              </w:rPr>
              <w:t xml:space="preserve">Side 54 Det er således Miljøministeriets vurdering, at Danmark forventeligt allerede i dag foretager de i drikkevandsdirektiv V, artikel 8, stk. 2, litra </w:t>
            </w:r>
            <w:proofErr w:type="spellStart"/>
            <w:r w:rsidRPr="007556D1">
              <w:rPr>
                <w:rFonts w:ascii="Verdana" w:hAnsi="Verdana"/>
                <w:i/>
                <w:iCs/>
                <w:sz w:val="18"/>
                <w:szCs w:val="18"/>
              </w:rPr>
              <w:t>a-c</w:t>
            </w:r>
            <w:proofErr w:type="spellEnd"/>
            <w:r w:rsidRPr="007556D1">
              <w:rPr>
                <w:rFonts w:ascii="Verdana" w:hAnsi="Verdana"/>
                <w:i/>
                <w:iCs/>
                <w:sz w:val="18"/>
                <w:szCs w:val="18"/>
              </w:rPr>
              <w:t>, nævnte risikovurderinger i eksisterende regler. Miljøministeriet vurderer dog, at der efter drikkevandsdirektiv V, artikel 8, stk. 1 og 2, skal foretages en samlet risikovurdering, der har særligt fokus på det, der er relevant ift. drikkevand, og som er i tråd med WHO’s retningslinjer og tager højde for klimaforandringernes indvirkning på vandressourcerne.</w:t>
            </w:r>
          </w:p>
          <w:p w14:paraId="1A487587" w14:textId="77777777" w:rsidR="007556D1" w:rsidRPr="007556D1" w:rsidRDefault="007556D1" w:rsidP="002E519E">
            <w:pPr>
              <w:rPr>
                <w:rFonts w:ascii="Verdana" w:hAnsi="Verdana"/>
                <w:sz w:val="18"/>
                <w:szCs w:val="18"/>
              </w:rPr>
            </w:pPr>
            <w:r w:rsidRPr="007556D1">
              <w:rPr>
                <w:rFonts w:ascii="Verdana" w:hAnsi="Verdana"/>
                <w:sz w:val="18"/>
                <w:szCs w:val="18"/>
              </w:rPr>
              <w:t>I et vist omfang ja, så udøves risikovurderingerne, men i vores forsyningsområde mener vi som vandforsyning ikke, at kommunen varetager den forpligtelse i fx tilladelser til jordvarmeboringer, nedsivningsanlæg mv. Kommunen henholder sig til anden lovgivning.</w:t>
            </w:r>
          </w:p>
        </w:tc>
      </w:tr>
      <w:tr w:rsidR="007556D1" w:rsidRPr="007556D1" w14:paraId="715D3F38"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513742"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3B2CFA82" w14:textId="1DE7ECCD" w:rsidR="007556D1" w:rsidRPr="007556D1" w:rsidRDefault="007556D1" w:rsidP="002E519E">
            <w:pPr>
              <w:rPr>
                <w:rFonts w:ascii="Verdana" w:hAnsi="Verdana"/>
                <w:i/>
                <w:iCs/>
                <w:sz w:val="18"/>
                <w:szCs w:val="18"/>
              </w:rPr>
            </w:pPr>
            <w:proofErr w:type="gramStart"/>
            <w:r w:rsidRPr="007556D1">
              <w:rPr>
                <w:rFonts w:ascii="Verdana" w:hAnsi="Verdana"/>
                <w:i/>
                <w:iCs/>
                <w:sz w:val="18"/>
                <w:szCs w:val="18"/>
              </w:rPr>
              <w:t>Side  54</w:t>
            </w:r>
            <w:proofErr w:type="gramEnd"/>
            <w:r w:rsidRPr="007556D1">
              <w:rPr>
                <w:rFonts w:ascii="Verdana" w:hAnsi="Verdana"/>
                <w:i/>
                <w:iCs/>
                <w:sz w:val="18"/>
                <w:szCs w:val="18"/>
              </w:rPr>
              <w:t xml:space="preserve"> Hvis miljøministeren i forbindelse med indhentelsen af oplysninger vedrørende risikovurderinger fra kommunalbestyrelsens, regionsrådet og andre relevante offentlige myndigheder bliver opmærksom på nye risici, f.eks. fysiske områder, nye brancher el.lign., der vil kunne findes problematiske, vil miljøministeren, eventuelt efter indhentelse af yderligere oplysninger efter det foreslåede § 10 a, stk. 2, kunne redegøre for disse i sin risikovurdering.</w:t>
            </w:r>
          </w:p>
          <w:p w14:paraId="47931A1A" w14:textId="77777777" w:rsidR="007556D1" w:rsidRPr="007556D1" w:rsidRDefault="007556D1" w:rsidP="002E519E">
            <w:pPr>
              <w:rPr>
                <w:rFonts w:ascii="Verdana" w:hAnsi="Verdana"/>
                <w:sz w:val="18"/>
                <w:szCs w:val="18"/>
              </w:rPr>
            </w:pPr>
            <w:r w:rsidRPr="007556D1">
              <w:rPr>
                <w:rFonts w:ascii="Verdana" w:hAnsi="Verdana"/>
                <w:sz w:val="18"/>
                <w:szCs w:val="18"/>
              </w:rPr>
              <w:t>Vil et forsyningsselskab – eller Danva – kunne melde nye risici ind?</w:t>
            </w:r>
          </w:p>
        </w:tc>
      </w:tr>
      <w:tr w:rsidR="007556D1" w:rsidRPr="007556D1" w14:paraId="63C48DED"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4F3724"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4C1D7FBD" w14:textId="1F025B30" w:rsidR="007556D1" w:rsidRPr="007556D1" w:rsidRDefault="007556D1" w:rsidP="002E519E">
            <w:pPr>
              <w:rPr>
                <w:rFonts w:ascii="Verdana" w:hAnsi="Verdana"/>
                <w:i/>
                <w:iCs/>
                <w:sz w:val="18"/>
                <w:szCs w:val="18"/>
              </w:rPr>
            </w:pPr>
            <w:r w:rsidRPr="007556D1">
              <w:rPr>
                <w:rFonts w:ascii="Verdana" w:hAnsi="Verdana"/>
                <w:i/>
                <w:iCs/>
                <w:sz w:val="18"/>
                <w:szCs w:val="18"/>
              </w:rPr>
              <w:t>Side 55 Det forventes, at miljøministeren i medfør af den foreslåede bemyndigelse i § 10 a, stk. 2, kan bestemme, at kommunalbestyrelsen eller regionsrådet foretager risikovurdering til brug for den samlede risikovurdering, hvor kommunalbestyrelsen og regionsrådet er myndighed, og at disse indberetter resultatet af vurderingen.</w:t>
            </w:r>
          </w:p>
          <w:p w14:paraId="22BA6515" w14:textId="77777777" w:rsidR="007556D1" w:rsidRPr="007556D1" w:rsidRDefault="007556D1" w:rsidP="002E519E">
            <w:pPr>
              <w:rPr>
                <w:rFonts w:ascii="Verdana" w:hAnsi="Verdana"/>
                <w:sz w:val="18"/>
                <w:szCs w:val="18"/>
              </w:rPr>
            </w:pPr>
            <w:r w:rsidRPr="007556D1">
              <w:rPr>
                <w:rFonts w:ascii="Verdana" w:hAnsi="Verdana"/>
                <w:sz w:val="18"/>
                <w:szCs w:val="18"/>
              </w:rPr>
              <w:t>Kan forsyningsselskaberne deltage i et ”koordinationsforum” tilsvarende med indsatsplanerne?</w:t>
            </w:r>
          </w:p>
        </w:tc>
      </w:tr>
      <w:tr w:rsidR="007556D1" w:rsidRPr="007556D1" w14:paraId="3574F83B"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8598E3"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155E0079" w14:textId="2745DE4D" w:rsidR="007556D1" w:rsidRPr="007556D1" w:rsidRDefault="007556D1" w:rsidP="002E519E">
            <w:pPr>
              <w:rPr>
                <w:rFonts w:ascii="Verdana" w:hAnsi="Verdana"/>
                <w:i/>
                <w:iCs/>
                <w:sz w:val="18"/>
                <w:szCs w:val="18"/>
              </w:rPr>
            </w:pPr>
            <w:r w:rsidRPr="007556D1">
              <w:rPr>
                <w:rFonts w:ascii="Verdana" w:hAnsi="Verdana"/>
                <w:i/>
                <w:iCs/>
                <w:sz w:val="18"/>
                <w:szCs w:val="18"/>
              </w:rPr>
              <w:t xml:space="preserve">Side 56 De nævnte foranstaltninger, der er nævnt i artikel 8, stk. 4, litra </w:t>
            </w:r>
            <w:proofErr w:type="spellStart"/>
            <w:r w:rsidRPr="007556D1">
              <w:rPr>
                <w:rFonts w:ascii="Verdana" w:hAnsi="Verdana"/>
                <w:i/>
                <w:iCs/>
                <w:sz w:val="18"/>
                <w:szCs w:val="18"/>
              </w:rPr>
              <w:t>a-d</w:t>
            </w:r>
            <w:proofErr w:type="spellEnd"/>
            <w:r w:rsidRPr="007556D1">
              <w:rPr>
                <w:rFonts w:ascii="Verdana" w:hAnsi="Verdana"/>
                <w:i/>
                <w:iCs/>
                <w:sz w:val="18"/>
                <w:szCs w:val="18"/>
              </w:rPr>
              <w:t xml:space="preserve">, omfatter definering og gennemførelse af forebyggende foranstaltninger i tilstrømningsområderne for indvindingssteder, definering og gennemførelse af afhjælpende foranstaltninger i tilstrømningsområderne for indvindingssteder, sikring af passende kontrol af parametre, stoffer eller forurenende stoffer i overfladevand eller grundvand, eller i begge dele, i tilstrømningsområderne for indvindingssteder, eller i </w:t>
            </w:r>
            <w:proofErr w:type="spellStart"/>
            <w:r w:rsidRPr="007556D1">
              <w:rPr>
                <w:rFonts w:ascii="Verdana" w:hAnsi="Verdana"/>
                <w:i/>
                <w:iCs/>
                <w:sz w:val="18"/>
                <w:szCs w:val="18"/>
              </w:rPr>
              <w:t>råvand</w:t>
            </w:r>
            <w:proofErr w:type="spellEnd"/>
            <w:r w:rsidRPr="007556D1">
              <w:rPr>
                <w:rFonts w:ascii="Verdana" w:hAnsi="Verdana"/>
                <w:i/>
                <w:iCs/>
                <w:sz w:val="18"/>
                <w:szCs w:val="18"/>
              </w:rPr>
              <w:t>, og vurdering af behovet for at oprette eller tilpasse beskyttelseszoner for grundvand og overfladevand.</w:t>
            </w:r>
          </w:p>
          <w:p w14:paraId="5244D38F" w14:textId="77777777" w:rsidR="007556D1" w:rsidRPr="007556D1" w:rsidRDefault="007556D1" w:rsidP="002E519E">
            <w:pPr>
              <w:rPr>
                <w:rFonts w:ascii="Verdana" w:hAnsi="Verdana"/>
                <w:sz w:val="18"/>
                <w:szCs w:val="18"/>
              </w:rPr>
            </w:pPr>
            <w:r w:rsidRPr="007556D1">
              <w:rPr>
                <w:rFonts w:ascii="Verdana" w:hAnsi="Verdana"/>
                <w:sz w:val="18"/>
                <w:szCs w:val="18"/>
              </w:rPr>
              <w:lastRenderedPageBreak/>
              <w:t>Hvordan er fremtidige ressourcer tænkt ind i risikovurdering og styringen? Der er ikke nødvendigvis et tilstrømningsområde – endnu?</w:t>
            </w:r>
          </w:p>
        </w:tc>
      </w:tr>
      <w:tr w:rsidR="007556D1" w:rsidRPr="007556D1" w14:paraId="739A4C39"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63BCC2"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24112F19" w14:textId="498B3FED" w:rsidR="007556D1" w:rsidRPr="007556D1" w:rsidRDefault="007556D1" w:rsidP="002E519E">
            <w:pPr>
              <w:rPr>
                <w:rFonts w:ascii="Verdana" w:hAnsi="Verdana"/>
                <w:i/>
                <w:iCs/>
                <w:sz w:val="18"/>
                <w:szCs w:val="18"/>
              </w:rPr>
            </w:pPr>
            <w:r w:rsidRPr="007556D1">
              <w:rPr>
                <w:rFonts w:ascii="Verdana" w:hAnsi="Verdana"/>
                <w:i/>
                <w:iCs/>
                <w:sz w:val="18"/>
                <w:szCs w:val="18"/>
              </w:rPr>
              <w:t>Side 57 Forebyggende foranstaltninger og afhjælpende foranstaltninger, som ikke er omfattet af vandrammedirektivets artikel 11, stk. 3, litra d, kunne f.eks. være, hvis en virksomhed har forurenet eller forurener og den afhjælpende foranstaltning ville være et påbud efter miljøbeskyttelseslovens § 24, eller at der blev opdaget jordforurening, hvor den afhjælpende foranstaltning ville være, at oprense jorden, eller at en kommune som en forebyggende foranstaltning via lokalplanlægningen forandrede arealanvendelsen.</w:t>
            </w:r>
          </w:p>
          <w:p w14:paraId="4248881B" w14:textId="77777777" w:rsidR="007556D1" w:rsidRPr="007556D1" w:rsidRDefault="007556D1" w:rsidP="002E519E">
            <w:pPr>
              <w:rPr>
                <w:rFonts w:ascii="Verdana" w:hAnsi="Verdana"/>
                <w:sz w:val="18"/>
                <w:szCs w:val="18"/>
              </w:rPr>
            </w:pPr>
            <w:r w:rsidRPr="007556D1">
              <w:rPr>
                <w:rFonts w:ascii="Verdana" w:hAnsi="Verdana"/>
                <w:sz w:val="18"/>
                <w:szCs w:val="18"/>
              </w:rPr>
              <w:t xml:space="preserve">Hvordan er dette hjemlet i gældende lovgivning? Hvordan er kommunens ”indsigelsesret” </w:t>
            </w:r>
            <w:proofErr w:type="spellStart"/>
            <w:r w:rsidRPr="007556D1">
              <w:rPr>
                <w:rFonts w:ascii="Verdana" w:hAnsi="Verdana"/>
                <w:sz w:val="18"/>
                <w:szCs w:val="18"/>
              </w:rPr>
              <w:t>ift</w:t>
            </w:r>
            <w:proofErr w:type="spellEnd"/>
            <w:r w:rsidRPr="007556D1">
              <w:rPr>
                <w:rFonts w:ascii="Verdana" w:hAnsi="Verdana"/>
                <w:sz w:val="18"/>
                <w:szCs w:val="18"/>
              </w:rPr>
              <w:t xml:space="preserve"> regionens prioritering på jordforureningsområdet? Dette er fx problematisk i bykommunerne i Storkøbenhavn, hvor oprensning/afværge er en ringere forretning end ude i landkommunerne.</w:t>
            </w:r>
          </w:p>
        </w:tc>
      </w:tr>
      <w:tr w:rsidR="007556D1" w:rsidRPr="007556D1" w14:paraId="467E3DCF"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6B0D70"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2E055BDD" w14:textId="29B78F4E" w:rsidR="007556D1" w:rsidRPr="007556D1" w:rsidRDefault="007556D1" w:rsidP="002E519E">
            <w:pPr>
              <w:rPr>
                <w:rFonts w:ascii="Verdana" w:hAnsi="Verdana"/>
                <w:i/>
                <w:iCs/>
                <w:sz w:val="18"/>
                <w:szCs w:val="18"/>
              </w:rPr>
            </w:pPr>
            <w:r w:rsidRPr="007556D1">
              <w:rPr>
                <w:rFonts w:ascii="Verdana" w:hAnsi="Verdana"/>
                <w:i/>
                <w:iCs/>
                <w:sz w:val="18"/>
                <w:szCs w:val="18"/>
              </w:rPr>
              <w:t>Side 57 Det fremgår af drikkevandsdirektivets artikel 8, stk. 4, litra a og b, 3. led, at hvis det er relevant, sikrer medlemsstaterne, at forurenere i samarbejde med vandforsyninger og andre relevante interessenter træffer forebyggende og afhjælpende foranstaltninger i overensstemmelse med vandrammedirektivet.</w:t>
            </w:r>
          </w:p>
          <w:p w14:paraId="1EA1F69A" w14:textId="77777777" w:rsidR="007556D1" w:rsidRPr="007556D1" w:rsidRDefault="007556D1" w:rsidP="002E519E">
            <w:pPr>
              <w:rPr>
                <w:rFonts w:ascii="Verdana" w:hAnsi="Verdana"/>
                <w:sz w:val="18"/>
                <w:szCs w:val="18"/>
              </w:rPr>
            </w:pPr>
            <w:r w:rsidRPr="007556D1">
              <w:rPr>
                <w:rFonts w:ascii="Verdana" w:hAnsi="Verdana"/>
                <w:sz w:val="18"/>
                <w:szCs w:val="18"/>
              </w:rPr>
              <w:t>Hvem skal handle i en sådan situation? Kommunen?</w:t>
            </w:r>
          </w:p>
        </w:tc>
      </w:tr>
      <w:tr w:rsidR="007556D1" w:rsidRPr="007556D1" w14:paraId="47F4A7B7"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617CF"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1D6AE0ED" w14:textId="1B5A61BF" w:rsidR="007556D1" w:rsidRPr="007556D1" w:rsidRDefault="007556D1" w:rsidP="002E519E">
            <w:pPr>
              <w:rPr>
                <w:rFonts w:ascii="Verdana" w:hAnsi="Verdana"/>
                <w:i/>
                <w:iCs/>
                <w:sz w:val="18"/>
                <w:szCs w:val="18"/>
              </w:rPr>
            </w:pPr>
            <w:r w:rsidRPr="007556D1">
              <w:rPr>
                <w:rFonts w:ascii="Verdana" w:hAnsi="Verdana"/>
                <w:i/>
                <w:iCs/>
                <w:sz w:val="18"/>
                <w:szCs w:val="18"/>
              </w:rPr>
              <w:t>Side 58 Miljøministeriet vurderer, at der er taget højde for artikel 8, stk. 4, litra a og b, 3. led, ved vandforsyningslovens § 13 d, stk. 1, hvor det fremgår, at en kommunalbestyrelse eller en almen vandforsyning for at gennemføre en indsatsplan vedtaget efter § 13 eller § 13 a kan indgå aftale med ejeren af eller indehaveren af andre rettigheder over en ejendom om dyrkningspraksis eller andre restriktioner i arealanvendelsen eller indgå aftale om salg af hele eller dele af ejendommen til kommunen eller den almene vandforsyning.</w:t>
            </w:r>
          </w:p>
          <w:p w14:paraId="2843B147" w14:textId="77777777" w:rsidR="007556D1" w:rsidRPr="007556D1" w:rsidRDefault="007556D1" w:rsidP="002E519E">
            <w:pPr>
              <w:rPr>
                <w:rFonts w:ascii="Verdana" w:hAnsi="Verdana"/>
                <w:sz w:val="18"/>
                <w:szCs w:val="18"/>
              </w:rPr>
            </w:pPr>
            <w:r w:rsidRPr="007556D1">
              <w:rPr>
                <w:rFonts w:ascii="Verdana" w:hAnsi="Verdana"/>
                <w:sz w:val="18"/>
                <w:szCs w:val="18"/>
              </w:rPr>
              <w:t>Hvad hvis man ikke kan aftale sig ud af det?</w:t>
            </w:r>
          </w:p>
        </w:tc>
      </w:tr>
      <w:tr w:rsidR="007556D1" w:rsidRPr="007556D1" w14:paraId="51C0BA94"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2F6CB"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14:paraId="16DFC247" w14:textId="601CDD9B" w:rsidR="007556D1" w:rsidRPr="007556D1" w:rsidRDefault="007556D1" w:rsidP="002E519E">
            <w:pPr>
              <w:rPr>
                <w:rFonts w:ascii="Verdana" w:hAnsi="Verdana"/>
                <w:i/>
                <w:iCs/>
                <w:sz w:val="18"/>
                <w:szCs w:val="18"/>
              </w:rPr>
            </w:pPr>
            <w:r w:rsidRPr="007556D1">
              <w:rPr>
                <w:rFonts w:ascii="Verdana" w:hAnsi="Verdana"/>
                <w:i/>
                <w:iCs/>
                <w:sz w:val="18"/>
                <w:szCs w:val="18"/>
              </w:rPr>
              <w:t>Side 59 Det er Miljøministeriets vurdering, at der skal ske en vurdering af behovet for at oprette eller tilpasse beskyttelseszoner for grundvand og overfladevand, som omhandlet i vandrammedirektivets artikel 7, stk. 3, og andre relevante zoner. Hvis det herefter findes relevant at oprette nye beskyttelseszoner og andre relevante zoner, vil dette som udgangspunkt kræve lovændring som følge af den indgribende karakter.</w:t>
            </w:r>
          </w:p>
          <w:p w14:paraId="212CE101" w14:textId="77777777" w:rsidR="007556D1" w:rsidRPr="007556D1" w:rsidRDefault="007556D1" w:rsidP="002E519E">
            <w:pPr>
              <w:rPr>
                <w:rFonts w:ascii="Verdana" w:hAnsi="Verdana"/>
                <w:sz w:val="18"/>
                <w:szCs w:val="18"/>
              </w:rPr>
            </w:pPr>
            <w:r w:rsidRPr="007556D1">
              <w:rPr>
                <w:rFonts w:ascii="Verdana" w:hAnsi="Verdana"/>
                <w:sz w:val="18"/>
                <w:szCs w:val="18"/>
              </w:rPr>
              <w:t>Som det er i dag, er det noget uklart, hvor der fra myndighedens side er hvilken handlepligt, og hvor myndigheden kan bestemme hvad. I hvert fald hos nogle myndigheder.</w:t>
            </w:r>
          </w:p>
        </w:tc>
      </w:tr>
      <w:tr w:rsidR="007556D1" w:rsidRPr="007556D1" w14:paraId="6BED4E64" w14:textId="77777777" w:rsidTr="007556D1">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067C8" w14:textId="77777777" w:rsidR="007556D1" w:rsidRPr="007556D1" w:rsidRDefault="007556D1" w:rsidP="002E519E">
            <w:pPr>
              <w:rPr>
                <w:rFonts w:ascii="Verdana" w:hAnsi="Verdana"/>
                <w:sz w:val="18"/>
                <w:szCs w:val="18"/>
              </w:rPr>
            </w:pPr>
          </w:p>
        </w:tc>
        <w:tc>
          <w:tcPr>
            <w:tcW w:w="9356" w:type="dxa"/>
            <w:tcBorders>
              <w:top w:val="nil"/>
              <w:left w:val="nil"/>
              <w:bottom w:val="single" w:sz="8" w:space="0" w:color="auto"/>
              <w:right w:val="single" w:sz="8" w:space="0" w:color="auto"/>
            </w:tcBorders>
            <w:tcMar>
              <w:top w:w="0" w:type="dxa"/>
              <w:left w:w="108" w:type="dxa"/>
              <w:bottom w:w="0" w:type="dxa"/>
              <w:right w:w="108" w:type="dxa"/>
            </w:tcMar>
          </w:tcPr>
          <w:p w14:paraId="1E1A243F" w14:textId="77777777" w:rsidR="007556D1" w:rsidRPr="007556D1" w:rsidRDefault="007556D1" w:rsidP="002E519E">
            <w:pPr>
              <w:rPr>
                <w:rFonts w:ascii="Verdana" w:hAnsi="Verdana"/>
                <w:i/>
                <w:iCs/>
                <w:sz w:val="18"/>
                <w:szCs w:val="18"/>
              </w:rPr>
            </w:pPr>
          </w:p>
        </w:tc>
      </w:tr>
    </w:tbl>
    <w:tbl>
      <w:tblPr>
        <w:tblStyle w:val="Tabel-Gitter"/>
        <w:tblW w:w="13539" w:type="dxa"/>
        <w:tblLook w:val="04A0" w:firstRow="1" w:lastRow="0" w:firstColumn="1" w:lastColumn="0" w:noHBand="0" w:noVBand="1"/>
      </w:tblPr>
      <w:tblGrid>
        <w:gridCol w:w="4106"/>
        <w:gridCol w:w="9433"/>
      </w:tblGrid>
      <w:tr w:rsidR="00B87DE6" w:rsidRPr="007556D1" w14:paraId="440C25F3" w14:textId="3513AFDD" w:rsidTr="007556D1">
        <w:tc>
          <w:tcPr>
            <w:tcW w:w="4106" w:type="dxa"/>
          </w:tcPr>
          <w:p w14:paraId="619EF2BC" w14:textId="2B4F7681" w:rsidR="00B87DE6" w:rsidRPr="007556D1" w:rsidRDefault="00B87DE6" w:rsidP="0082179A">
            <w:pPr>
              <w:pStyle w:val="Default"/>
              <w:rPr>
                <w:rFonts w:ascii="Verdana" w:hAnsi="Verdana"/>
                <w:b/>
                <w:bCs/>
                <w:sz w:val="18"/>
                <w:szCs w:val="18"/>
              </w:rPr>
            </w:pPr>
            <w:r w:rsidRPr="007556D1">
              <w:rPr>
                <w:rFonts w:ascii="Verdana" w:hAnsi="Verdana"/>
                <w:b/>
                <w:bCs/>
                <w:sz w:val="18"/>
                <w:szCs w:val="18"/>
              </w:rPr>
              <w:t xml:space="preserve">13 b </w:t>
            </w:r>
            <w:r w:rsidRPr="007556D1">
              <w:rPr>
                <w:rFonts w:ascii="Verdana" w:hAnsi="Verdana"/>
                <w:sz w:val="18"/>
                <w:szCs w:val="18"/>
              </w:rPr>
              <w:t>Indsatsplanen sendes til miljøministeren.</w:t>
            </w:r>
          </w:p>
        </w:tc>
        <w:tc>
          <w:tcPr>
            <w:tcW w:w="9433" w:type="dxa"/>
          </w:tcPr>
          <w:p w14:paraId="29D30DE2" w14:textId="1C397037" w:rsidR="00B87DE6" w:rsidRPr="007556D1" w:rsidRDefault="00B87DE6" w:rsidP="005D526D">
            <w:pPr>
              <w:spacing w:after="160" w:line="259" w:lineRule="auto"/>
              <w:rPr>
                <w:rFonts w:ascii="Verdana" w:hAnsi="Verdana"/>
                <w:sz w:val="18"/>
                <w:szCs w:val="18"/>
              </w:rPr>
            </w:pPr>
            <w:r w:rsidRPr="007556D1">
              <w:rPr>
                <w:rFonts w:ascii="Verdana" w:hAnsi="Verdana"/>
                <w:sz w:val="18"/>
                <w:szCs w:val="18"/>
              </w:rPr>
              <w:t>Tilsvarende øvelse anbefales for vandforsyningsplanerne – forventer en handlepligt, hvis indsatsplanen ikke lever op til minimumskrav, ikke blot en opbevaringsforpligtigelse</w:t>
            </w:r>
            <w:r w:rsidR="005D526D" w:rsidRPr="007556D1">
              <w:rPr>
                <w:rFonts w:ascii="Verdana" w:hAnsi="Verdana"/>
                <w:sz w:val="18"/>
                <w:szCs w:val="18"/>
              </w:rPr>
              <w:t xml:space="preserve">. Dele af </w:t>
            </w:r>
            <w:r w:rsidR="005D526D" w:rsidRPr="007556D1">
              <w:rPr>
                <w:rFonts w:ascii="Verdana" w:hAnsi="Verdana"/>
                <w:sz w:val="18"/>
                <w:szCs w:val="18"/>
              </w:rPr>
              <w:lastRenderedPageBreak/>
              <w:t>risikovurderingen er allerede indført i dansk lov, men ikke håndhævet idet der ikke er ført kontrol med kommunernes indsatsplanlægning. Derfor vil det være relevant at understrege at der med indberetningsforpligtigelsen også følger at Miljøministeren fremover vil føre tilsyn med dels indholdet i de kommunale indsatsplaner for grundvandsbeskyttelse samt effektueringen af disse. I øvrigt er der i forhold til konkrete aftaler brug for at kigge nærmere på, hvordan sagsbehandlingstiden hos skat kan kortes ned. Ved indgåelse af en frivillig forhandling, der ofte strækker sig over flere måneder, bliver der tilføjet en lang sagsbehandlingstid hos SKAT, der kan få flere lodsejere til at opgive den frivillige aftale.</w:t>
            </w:r>
          </w:p>
        </w:tc>
      </w:tr>
      <w:tr w:rsidR="00B87DE6" w:rsidRPr="007556D1" w14:paraId="5DA42D21" w14:textId="0F53C94E" w:rsidTr="007556D1">
        <w:tc>
          <w:tcPr>
            <w:tcW w:w="4106" w:type="dxa"/>
          </w:tcPr>
          <w:p w14:paraId="445B613C" w14:textId="2592D795" w:rsidR="00B87DE6" w:rsidRPr="007556D1" w:rsidRDefault="00B87DE6" w:rsidP="00220D46">
            <w:pPr>
              <w:pStyle w:val="Default"/>
              <w:rPr>
                <w:rFonts w:ascii="Verdana" w:hAnsi="Verdana"/>
                <w:b/>
                <w:bCs/>
                <w:sz w:val="18"/>
                <w:szCs w:val="18"/>
              </w:rPr>
            </w:pPr>
            <w:r w:rsidRPr="007556D1">
              <w:rPr>
                <w:rFonts w:ascii="Verdana" w:hAnsi="Verdana"/>
                <w:b/>
                <w:bCs/>
                <w:sz w:val="18"/>
                <w:szCs w:val="18"/>
              </w:rPr>
              <w:lastRenderedPageBreak/>
              <w:t xml:space="preserve">16 </w:t>
            </w:r>
            <w:proofErr w:type="spellStart"/>
            <w:r w:rsidRPr="007556D1">
              <w:rPr>
                <w:rFonts w:ascii="Verdana" w:hAnsi="Verdana"/>
                <w:b/>
                <w:bCs/>
                <w:sz w:val="18"/>
                <w:szCs w:val="18"/>
              </w:rPr>
              <w:t>stk</w:t>
            </w:r>
            <w:proofErr w:type="spellEnd"/>
            <w:r w:rsidRPr="007556D1">
              <w:rPr>
                <w:rFonts w:ascii="Verdana" w:hAnsi="Verdana"/>
                <w:b/>
                <w:bCs/>
                <w:sz w:val="18"/>
                <w:szCs w:val="18"/>
              </w:rPr>
              <w:t xml:space="preserve"> 4 </w:t>
            </w:r>
          </w:p>
          <w:p w14:paraId="613B4888" w14:textId="6488805D" w:rsidR="00B87DE6" w:rsidRPr="007556D1" w:rsidRDefault="00B87DE6" w:rsidP="0082179A">
            <w:pPr>
              <w:pStyle w:val="Default"/>
              <w:rPr>
                <w:rFonts w:ascii="Verdana" w:hAnsi="Verdana"/>
                <w:b/>
                <w:bCs/>
                <w:sz w:val="18"/>
                <w:szCs w:val="18"/>
              </w:rPr>
            </w:pPr>
          </w:p>
        </w:tc>
        <w:tc>
          <w:tcPr>
            <w:tcW w:w="9433" w:type="dxa"/>
          </w:tcPr>
          <w:p w14:paraId="3A5A7B5F" w14:textId="4615D5AE" w:rsidR="00B87DE6" w:rsidRPr="007556D1" w:rsidRDefault="00B87DE6" w:rsidP="00B87DE6">
            <w:pPr>
              <w:rPr>
                <w:rFonts w:ascii="Verdana" w:hAnsi="Verdana"/>
                <w:sz w:val="18"/>
                <w:szCs w:val="18"/>
              </w:rPr>
            </w:pPr>
            <w:r w:rsidRPr="007556D1">
              <w:rPr>
                <w:rFonts w:ascii="Verdana" w:hAnsi="Verdana"/>
                <w:sz w:val="18"/>
                <w:szCs w:val="18"/>
              </w:rPr>
              <w:t xml:space="preserve">Indberetning af pejlinger –direkte til den myndighed der har mest værdi </w:t>
            </w:r>
            <w:r w:rsidR="005D526D" w:rsidRPr="007556D1">
              <w:rPr>
                <w:rFonts w:ascii="Verdana" w:hAnsi="Verdana"/>
                <w:sz w:val="18"/>
                <w:szCs w:val="18"/>
              </w:rPr>
              <w:t>af</w:t>
            </w:r>
            <w:r w:rsidRPr="007556D1">
              <w:rPr>
                <w:rFonts w:ascii="Verdana" w:hAnsi="Verdana"/>
                <w:sz w:val="18"/>
                <w:szCs w:val="18"/>
              </w:rPr>
              <w:t xml:space="preserve"> data, udstilles til brug for kommunernes sagsbehandling – senere ændringer af Vandkvalitetsbekendtgørelsen. Jupiter skal udbygges som følge heraf? </w:t>
            </w:r>
          </w:p>
        </w:tc>
      </w:tr>
      <w:tr w:rsidR="00B87DE6" w:rsidRPr="007556D1" w14:paraId="0FACA8C2" w14:textId="6F09ECA9" w:rsidTr="007556D1">
        <w:tc>
          <w:tcPr>
            <w:tcW w:w="4106" w:type="dxa"/>
          </w:tcPr>
          <w:p w14:paraId="5918983A" w14:textId="5741CA1E" w:rsidR="00B87DE6" w:rsidRPr="007556D1" w:rsidRDefault="00B87DE6" w:rsidP="0082179A">
            <w:pPr>
              <w:pStyle w:val="Default"/>
              <w:rPr>
                <w:rFonts w:ascii="Verdana" w:hAnsi="Verdana"/>
                <w:sz w:val="18"/>
                <w:szCs w:val="18"/>
              </w:rPr>
            </w:pPr>
            <w:r w:rsidRPr="007556D1">
              <w:rPr>
                <w:rFonts w:ascii="Verdana" w:hAnsi="Verdana"/>
                <w:sz w:val="18"/>
                <w:szCs w:val="18"/>
              </w:rPr>
              <w:t>Anden indvinding og bortledning af vand</w:t>
            </w:r>
          </w:p>
        </w:tc>
        <w:tc>
          <w:tcPr>
            <w:tcW w:w="9433" w:type="dxa"/>
          </w:tcPr>
          <w:p w14:paraId="1F94C9CE" w14:textId="77777777" w:rsidR="00B87DE6" w:rsidRPr="007556D1" w:rsidRDefault="00B87DE6" w:rsidP="0082179A">
            <w:pPr>
              <w:rPr>
                <w:rFonts w:ascii="Verdana" w:hAnsi="Verdana"/>
                <w:sz w:val="18"/>
                <w:szCs w:val="18"/>
              </w:rPr>
            </w:pPr>
          </w:p>
        </w:tc>
      </w:tr>
      <w:tr w:rsidR="00B87DE6" w:rsidRPr="007556D1" w14:paraId="7E7C6A24" w14:textId="3BFB4E44" w:rsidTr="007556D1">
        <w:tc>
          <w:tcPr>
            <w:tcW w:w="4106" w:type="dxa"/>
          </w:tcPr>
          <w:p w14:paraId="44D81D87" w14:textId="21FA7641" w:rsidR="00B87DE6" w:rsidRPr="007556D1" w:rsidRDefault="00B87DE6" w:rsidP="0082179A">
            <w:pPr>
              <w:pStyle w:val="Default"/>
              <w:rPr>
                <w:rFonts w:ascii="Verdana" w:hAnsi="Verdana"/>
                <w:b/>
                <w:bCs/>
                <w:sz w:val="18"/>
                <w:szCs w:val="18"/>
              </w:rPr>
            </w:pPr>
            <w:r w:rsidRPr="007556D1">
              <w:rPr>
                <w:rFonts w:ascii="Verdana" w:hAnsi="Verdana"/>
                <w:b/>
                <w:bCs/>
                <w:sz w:val="18"/>
                <w:szCs w:val="18"/>
              </w:rPr>
              <w:t>§25</w:t>
            </w:r>
          </w:p>
        </w:tc>
        <w:tc>
          <w:tcPr>
            <w:tcW w:w="9433" w:type="dxa"/>
          </w:tcPr>
          <w:p w14:paraId="659B957E" w14:textId="77777777" w:rsidR="00B87DE6" w:rsidRPr="007556D1" w:rsidRDefault="00B87DE6" w:rsidP="0082179A">
            <w:pPr>
              <w:rPr>
                <w:rFonts w:ascii="Verdana" w:hAnsi="Verdana"/>
                <w:sz w:val="18"/>
                <w:szCs w:val="18"/>
              </w:rPr>
            </w:pPr>
            <w:r w:rsidRPr="007556D1">
              <w:rPr>
                <w:rFonts w:ascii="Verdana" w:hAnsi="Verdana"/>
                <w:sz w:val="18"/>
                <w:szCs w:val="18"/>
              </w:rPr>
              <w:t xml:space="preserve">Andre formål kommer </w:t>
            </w:r>
            <w:proofErr w:type="spellStart"/>
            <w:r w:rsidRPr="007556D1">
              <w:rPr>
                <w:rFonts w:ascii="Verdana" w:hAnsi="Verdana"/>
                <w:sz w:val="18"/>
                <w:szCs w:val="18"/>
              </w:rPr>
              <w:t>PtX</w:t>
            </w:r>
            <w:proofErr w:type="spellEnd"/>
            <w:r w:rsidRPr="007556D1">
              <w:rPr>
                <w:rFonts w:ascii="Verdana" w:hAnsi="Verdana"/>
                <w:sz w:val="18"/>
                <w:szCs w:val="18"/>
              </w:rPr>
              <w:t xml:space="preserve"> ind her?</w:t>
            </w:r>
          </w:p>
          <w:p w14:paraId="6A4017D5" w14:textId="77777777" w:rsidR="00B87DE6" w:rsidRPr="007556D1" w:rsidRDefault="00B87DE6" w:rsidP="0082179A">
            <w:pPr>
              <w:rPr>
                <w:rFonts w:ascii="Verdana" w:hAnsi="Verdana"/>
                <w:sz w:val="18"/>
                <w:szCs w:val="18"/>
              </w:rPr>
            </w:pPr>
          </w:p>
          <w:p w14:paraId="31F19677" w14:textId="6F644AE0" w:rsidR="00B87DE6" w:rsidRPr="007556D1" w:rsidRDefault="00B87DE6" w:rsidP="0082179A">
            <w:pPr>
              <w:spacing w:after="160" w:line="259" w:lineRule="auto"/>
              <w:rPr>
                <w:rFonts w:ascii="Verdana" w:hAnsi="Verdana"/>
                <w:sz w:val="18"/>
                <w:szCs w:val="18"/>
              </w:rPr>
            </w:pPr>
            <w:r w:rsidRPr="007556D1">
              <w:rPr>
                <w:rFonts w:ascii="Verdana" w:hAnsi="Verdana"/>
                <w:sz w:val="18"/>
                <w:szCs w:val="18"/>
              </w:rPr>
              <w:t>§25 stk. 5: lidt uklarhed i forhold til terminologien. Grundvand og overfladevand må eksporteres til udlandet med tilladelse, men godt importeres? Mens drikkevand ikke må importeres uden tilladelse, men ikke grundvand og drikkevand? Kan man ikke få ”</w:t>
            </w:r>
            <w:proofErr w:type="spellStart"/>
            <w:r w:rsidRPr="007556D1">
              <w:rPr>
                <w:rFonts w:ascii="Verdana" w:hAnsi="Verdana"/>
                <w:sz w:val="18"/>
                <w:szCs w:val="18"/>
              </w:rPr>
              <w:t>råvandet</w:t>
            </w:r>
            <w:proofErr w:type="spellEnd"/>
            <w:r w:rsidRPr="007556D1">
              <w:rPr>
                <w:rFonts w:ascii="Verdana" w:hAnsi="Verdana"/>
                <w:sz w:val="18"/>
                <w:szCs w:val="18"/>
              </w:rPr>
              <w:t>” fra udlandet?</w:t>
            </w:r>
          </w:p>
        </w:tc>
      </w:tr>
      <w:tr w:rsidR="00B87DE6" w:rsidRPr="007556D1" w14:paraId="40B62E98" w14:textId="2D4AAF8E" w:rsidTr="007556D1">
        <w:tc>
          <w:tcPr>
            <w:tcW w:w="4106" w:type="dxa"/>
          </w:tcPr>
          <w:p w14:paraId="11FFE6A2" w14:textId="5759B841" w:rsidR="00B87DE6" w:rsidRPr="007556D1" w:rsidRDefault="00B87DE6" w:rsidP="0082179A">
            <w:pPr>
              <w:pStyle w:val="Default"/>
              <w:rPr>
                <w:rFonts w:ascii="Verdana" w:hAnsi="Verdana"/>
                <w:sz w:val="18"/>
                <w:szCs w:val="18"/>
              </w:rPr>
            </w:pPr>
            <w:r w:rsidRPr="007556D1">
              <w:rPr>
                <w:rFonts w:ascii="Verdana" w:hAnsi="Verdana"/>
                <w:sz w:val="18"/>
                <w:szCs w:val="18"/>
              </w:rPr>
              <w:t>Ændring i og bortfald af retten til vandindvinding</w:t>
            </w:r>
          </w:p>
        </w:tc>
        <w:tc>
          <w:tcPr>
            <w:tcW w:w="9433" w:type="dxa"/>
          </w:tcPr>
          <w:p w14:paraId="213F8C9A" w14:textId="77777777" w:rsidR="00B87DE6" w:rsidRPr="007556D1" w:rsidRDefault="00B87DE6" w:rsidP="0082179A">
            <w:pPr>
              <w:rPr>
                <w:rFonts w:ascii="Verdana" w:hAnsi="Verdana"/>
                <w:sz w:val="18"/>
                <w:szCs w:val="18"/>
              </w:rPr>
            </w:pPr>
          </w:p>
        </w:tc>
      </w:tr>
      <w:tr w:rsidR="00B87DE6" w:rsidRPr="007556D1" w14:paraId="3A3B9F05" w14:textId="4796756E" w:rsidTr="007556D1">
        <w:tc>
          <w:tcPr>
            <w:tcW w:w="4106" w:type="dxa"/>
          </w:tcPr>
          <w:p w14:paraId="4B752D1B" w14:textId="2097675E" w:rsidR="00B87DE6" w:rsidRPr="007556D1" w:rsidRDefault="00B87DE6" w:rsidP="0082179A">
            <w:pPr>
              <w:pStyle w:val="Default"/>
              <w:rPr>
                <w:rFonts w:ascii="Verdana" w:hAnsi="Verdana"/>
                <w:b/>
                <w:bCs/>
                <w:sz w:val="18"/>
                <w:szCs w:val="18"/>
              </w:rPr>
            </w:pPr>
            <w:r w:rsidRPr="007556D1">
              <w:rPr>
                <w:rFonts w:ascii="Verdana" w:hAnsi="Verdana"/>
                <w:b/>
                <w:bCs/>
                <w:sz w:val="18"/>
                <w:szCs w:val="18"/>
              </w:rPr>
              <w:t xml:space="preserve">§ 33. </w:t>
            </w:r>
          </w:p>
        </w:tc>
        <w:tc>
          <w:tcPr>
            <w:tcW w:w="9433" w:type="dxa"/>
          </w:tcPr>
          <w:p w14:paraId="6950368E" w14:textId="77777777" w:rsidR="00B87DE6" w:rsidRPr="007556D1" w:rsidRDefault="00B87DE6" w:rsidP="0082179A">
            <w:pPr>
              <w:rPr>
                <w:rFonts w:ascii="Verdana" w:hAnsi="Verdana"/>
                <w:sz w:val="18"/>
                <w:szCs w:val="18"/>
              </w:rPr>
            </w:pPr>
          </w:p>
        </w:tc>
      </w:tr>
      <w:tr w:rsidR="00B87DE6" w:rsidRPr="007556D1" w14:paraId="4A4308DF" w14:textId="63FFC7A0" w:rsidTr="007556D1">
        <w:tc>
          <w:tcPr>
            <w:tcW w:w="4106" w:type="dxa"/>
          </w:tcPr>
          <w:p w14:paraId="3E1DF690" w14:textId="31036C5B" w:rsidR="00B87DE6" w:rsidRPr="007556D1" w:rsidRDefault="00B87DE6" w:rsidP="0082179A">
            <w:pPr>
              <w:pStyle w:val="Default"/>
              <w:rPr>
                <w:rFonts w:ascii="Verdana" w:hAnsi="Verdana"/>
                <w:b/>
                <w:bCs/>
                <w:sz w:val="18"/>
                <w:szCs w:val="18"/>
              </w:rPr>
            </w:pPr>
            <w:r w:rsidRPr="007556D1">
              <w:rPr>
                <w:rFonts w:ascii="Verdana" w:hAnsi="Verdana"/>
                <w:b/>
                <w:bCs/>
                <w:sz w:val="18"/>
                <w:szCs w:val="18"/>
              </w:rPr>
              <w:t>Forholdet mellem almen vandforsyning og forbrugerne</w:t>
            </w:r>
          </w:p>
        </w:tc>
        <w:tc>
          <w:tcPr>
            <w:tcW w:w="9433" w:type="dxa"/>
          </w:tcPr>
          <w:p w14:paraId="1E88D2BF" w14:textId="77777777" w:rsidR="00B87DE6" w:rsidRPr="007556D1" w:rsidRDefault="00B87DE6" w:rsidP="0082179A">
            <w:pPr>
              <w:rPr>
                <w:rFonts w:ascii="Verdana" w:hAnsi="Verdana"/>
                <w:sz w:val="18"/>
                <w:szCs w:val="18"/>
              </w:rPr>
            </w:pPr>
          </w:p>
        </w:tc>
      </w:tr>
      <w:tr w:rsidR="00B87DE6" w:rsidRPr="007556D1" w14:paraId="4FA42FF3" w14:textId="50457A85" w:rsidTr="007556D1">
        <w:tc>
          <w:tcPr>
            <w:tcW w:w="4106" w:type="dxa"/>
          </w:tcPr>
          <w:p w14:paraId="0D3CE00F" w14:textId="64093EDB" w:rsidR="00B87DE6" w:rsidRPr="007556D1" w:rsidRDefault="00B87DE6" w:rsidP="00B87DE6">
            <w:pPr>
              <w:autoSpaceDE w:val="0"/>
              <w:autoSpaceDN w:val="0"/>
              <w:adjustRightInd w:val="0"/>
              <w:rPr>
                <w:rFonts w:ascii="Verdana" w:hAnsi="Verdana" w:cs="Calibri"/>
                <w:sz w:val="18"/>
                <w:szCs w:val="18"/>
              </w:rPr>
            </w:pPr>
            <w:r w:rsidRPr="007556D1">
              <w:rPr>
                <w:rFonts w:ascii="Verdana" w:hAnsi="Verdana" w:cs="Calibri"/>
                <w:b/>
                <w:bCs/>
                <w:color w:val="000000"/>
                <w:kern w:val="0"/>
                <w:sz w:val="18"/>
                <w:szCs w:val="18"/>
              </w:rPr>
              <w:t xml:space="preserve">§ 55 a. </w:t>
            </w:r>
          </w:p>
          <w:p w14:paraId="5D606509" w14:textId="51BD4507" w:rsidR="00B87DE6" w:rsidRPr="007556D1" w:rsidRDefault="00B87DE6" w:rsidP="0082179A">
            <w:pPr>
              <w:pStyle w:val="Default"/>
              <w:rPr>
                <w:rFonts w:ascii="Verdana" w:hAnsi="Verdana"/>
                <w:strike/>
                <w:sz w:val="18"/>
                <w:szCs w:val="18"/>
              </w:rPr>
            </w:pPr>
          </w:p>
        </w:tc>
        <w:tc>
          <w:tcPr>
            <w:tcW w:w="9433" w:type="dxa"/>
          </w:tcPr>
          <w:p w14:paraId="67A1A4A2" w14:textId="6FFD1F3D" w:rsidR="00B87DE6" w:rsidRPr="007556D1" w:rsidRDefault="00B87DE6" w:rsidP="0082179A">
            <w:pPr>
              <w:rPr>
                <w:rFonts w:ascii="Verdana" w:hAnsi="Verdana"/>
                <w:sz w:val="18"/>
                <w:szCs w:val="18"/>
              </w:rPr>
            </w:pPr>
            <w:r w:rsidRPr="007556D1">
              <w:rPr>
                <w:rFonts w:ascii="Verdana" w:hAnsi="Verdana"/>
                <w:sz w:val="18"/>
                <w:szCs w:val="18"/>
              </w:rPr>
              <w:t>Indberetningsformat og hyppighed, Koordinering mlm to ministerier</w:t>
            </w:r>
          </w:p>
          <w:p w14:paraId="0E894C20" w14:textId="77777777" w:rsidR="00B87DE6" w:rsidRPr="007556D1" w:rsidRDefault="00B87DE6" w:rsidP="0082179A">
            <w:pPr>
              <w:rPr>
                <w:rFonts w:ascii="Verdana" w:hAnsi="Verdana"/>
                <w:sz w:val="18"/>
                <w:szCs w:val="18"/>
              </w:rPr>
            </w:pPr>
          </w:p>
          <w:p w14:paraId="031F2CE8" w14:textId="77777777" w:rsidR="00B87DE6" w:rsidRPr="007556D1" w:rsidRDefault="00B87DE6" w:rsidP="0082179A">
            <w:pPr>
              <w:rPr>
                <w:rFonts w:ascii="Verdana" w:hAnsi="Verdana"/>
                <w:sz w:val="18"/>
                <w:szCs w:val="18"/>
              </w:rPr>
            </w:pPr>
            <w:r w:rsidRPr="007556D1">
              <w:rPr>
                <w:rFonts w:ascii="Verdana" w:hAnsi="Verdana"/>
                <w:sz w:val="18"/>
                <w:szCs w:val="18"/>
              </w:rPr>
              <w:t>Hvad er præstationsniveau? Performance benchmark? kun dem der laver PM i forvejen?</w:t>
            </w:r>
          </w:p>
          <w:p w14:paraId="3716C761" w14:textId="77777777" w:rsidR="00B87DE6" w:rsidRPr="007556D1" w:rsidRDefault="00B87DE6" w:rsidP="0082179A">
            <w:pPr>
              <w:rPr>
                <w:rFonts w:ascii="Verdana" w:hAnsi="Verdana"/>
                <w:sz w:val="18"/>
                <w:szCs w:val="18"/>
              </w:rPr>
            </w:pPr>
            <w:r w:rsidRPr="007556D1">
              <w:rPr>
                <w:rFonts w:ascii="Verdana" w:hAnsi="Verdana"/>
                <w:sz w:val="18"/>
                <w:szCs w:val="18"/>
              </w:rPr>
              <w:t xml:space="preserve">§55 a, </w:t>
            </w:r>
            <w:proofErr w:type="spellStart"/>
            <w:r w:rsidRPr="007556D1">
              <w:rPr>
                <w:rFonts w:ascii="Verdana" w:hAnsi="Verdana"/>
                <w:sz w:val="18"/>
                <w:szCs w:val="18"/>
              </w:rPr>
              <w:t>stk</w:t>
            </w:r>
            <w:proofErr w:type="spellEnd"/>
            <w:r w:rsidRPr="007556D1">
              <w:rPr>
                <w:rFonts w:ascii="Verdana" w:hAnsi="Verdana"/>
                <w:sz w:val="18"/>
                <w:szCs w:val="18"/>
              </w:rPr>
              <w:t xml:space="preserve"> 5: ”skal sende vandforsyningens forbrugere information om kvaliteten af drikkevandet”. </w:t>
            </w:r>
          </w:p>
          <w:p w14:paraId="5610E35C" w14:textId="0656480D" w:rsidR="00B87DE6" w:rsidRPr="007556D1" w:rsidRDefault="00B87DE6" w:rsidP="0082179A">
            <w:pPr>
              <w:rPr>
                <w:rFonts w:ascii="Verdana" w:hAnsi="Verdana"/>
                <w:sz w:val="18"/>
                <w:szCs w:val="18"/>
              </w:rPr>
            </w:pPr>
            <w:r w:rsidRPr="007556D1">
              <w:rPr>
                <w:rFonts w:ascii="Verdana" w:hAnsi="Verdana"/>
                <w:sz w:val="18"/>
                <w:szCs w:val="18"/>
              </w:rPr>
              <w:t xml:space="preserve">Hvordan sende? Skal vi skrive til folk i </w:t>
            </w:r>
            <w:proofErr w:type="spellStart"/>
            <w:r w:rsidRPr="007556D1">
              <w:rPr>
                <w:rFonts w:ascii="Verdana" w:hAnsi="Verdana"/>
                <w:sz w:val="18"/>
                <w:szCs w:val="18"/>
              </w:rPr>
              <w:t>Eboks</w:t>
            </w:r>
            <w:proofErr w:type="spellEnd"/>
            <w:r w:rsidRPr="007556D1">
              <w:rPr>
                <w:rFonts w:ascii="Verdana" w:hAnsi="Verdana"/>
                <w:sz w:val="18"/>
                <w:szCs w:val="18"/>
              </w:rPr>
              <w:t xml:space="preserve"> eller skal de alle have en mail?</w:t>
            </w:r>
          </w:p>
        </w:tc>
      </w:tr>
      <w:tr w:rsidR="00B87DE6" w:rsidRPr="007556D1" w14:paraId="2AA850B0" w14:textId="2DE52433" w:rsidTr="007556D1">
        <w:tc>
          <w:tcPr>
            <w:tcW w:w="4106" w:type="dxa"/>
          </w:tcPr>
          <w:p w14:paraId="32CBB8EC" w14:textId="3BFD4A21" w:rsidR="00B87DE6" w:rsidRPr="007556D1" w:rsidRDefault="00B87DE6" w:rsidP="0082179A">
            <w:pPr>
              <w:pStyle w:val="Default"/>
              <w:rPr>
                <w:rFonts w:ascii="Verdana" w:hAnsi="Verdana"/>
                <w:b/>
                <w:bCs/>
                <w:sz w:val="18"/>
                <w:szCs w:val="18"/>
              </w:rPr>
            </w:pPr>
            <w:r w:rsidRPr="007556D1">
              <w:rPr>
                <w:rFonts w:ascii="Verdana" w:hAnsi="Verdana"/>
                <w:i/>
                <w:iCs/>
                <w:sz w:val="18"/>
                <w:szCs w:val="18"/>
              </w:rPr>
              <w:t>Krav til anlæg, ledninger, materialer, produkter og behandlingskemikalier i vandforsyningssystemer samt kontrol og tilsyn hermed</w:t>
            </w:r>
          </w:p>
        </w:tc>
        <w:tc>
          <w:tcPr>
            <w:tcW w:w="9433" w:type="dxa"/>
          </w:tcPr>
          <w:p w14:paraId="4C81FABE" w14:textId="77777777" w:rsidR="00B87DE6" w:rsidRPr="007556D1" w:rsidRDefault="00B87DE6" w:rsidP="0082179A">
            <w:pPr>
              <w:rPr>
                <w:rFonts w:ascii="Verdana" w:hAnsi="Verdana"/>
                <w:sz w:val="18"/>
                <w:szCs w:val="18"/>
              </w:rPr>
            </w:pPr>
          </w:p>
        </w:tc>
      </w:tr>
      <w:tr w:rsidR="00B87DE6" w:rsidRPr="007556D1" w14:paraId="142A9A4D" w14:textId="0D1FAD6D" w:rsidTr="007556D1">
        <w:tc>
          <w:tcPr>
            <w:tcW w:w="4106" w:type="dxa"/>
          </w:tcPr>
          <w:p w14:paraId="5659CAEC" w14:textId="61560F49" w:rsidR="00B87DE6" w:rsidRPr="007556D1" w:rsidRDefault="00B87DE6" w:rsidP="0082179A">
            <w:pPr>
              <w:pStyle w:val="Default"/>
              <w:rPr>
                <w:rFonts w:ascii="Verdana" w:hAnsi="Verdana"/>
                <w:b/>
                <w:bCs/>
                <w:sz w:val="18"/>
                <w:szCs w:val="18"/>
              </w:rPr>
            </w:pPr>
            <w:r w:rsidRPr="007556D1">
              <w:rPr>
                <w:rFonts w:ascii="Verdana" w:hAnsi="Verdana"/>
                <w:i/>
                <w:iCs/>
                <w:sz w:val="18"/>
                <w:szCs w:val="18"/>
              </w:rPr>
              <w:t>Vandindvindingsanlæg, forsyningsledninger og vandforsyningsanlæg</w:t>
            </w:r>
          </w:p>
        </w:tc>
        <w:tc>
          <w:tcPr>
            <w:tcW w:w="9433" w:type="dxa"/>
          </w:tcPr>
          <w:p w14:paraId="4DCAA32A" w14:textId="77777777" w:rsidR="00B87DE6" w:rsidRPr="007556D1" w:rsidRDefault="00B87DE6" w:rsidP="0082179A">
            <w:pPr>
              <w:rPr>
                <w:rFonts w:ascii="Verdana" w:hAnsi="Verdana"/>
                <w:sz w:val="18"/>
                <w:szCs w:val="18"/>
              </w:rPr>
            </w:pPr>
          </w:p>
        </w:tc>
      </w:tr>
      <w:tr w:rsidR="00B87DE6" w:rsidRPr="007556D1" w14:paraId="2FC60F06" w14:textId="09782E55" w:rsidTr="007556D1">
        <w:tc>
          <w:tcPr>
            <w:tcW w:w="4106" w:type="dxa"/>
          </w:tcPr>
          <w:p w14:paraId="757CA67D" w14:textId="29B990FC" w:rsidR="00B87DE6" w:rsidRPr="007556D1" w:rsidRDefault="00B87DE6" w:rsidP="00B87DE6">
            <w:pPr>
              <w:pStyle w:val="Default"/>
              <w:rPr>
                <w:rFonts w:ascii="Verdana" w:hAnsi="Verdana" w:cs="Calibri"/>
                <w:b/>
                <w:bCs/>
                <w:sz w:val="18"/>
                <w:szCs w:val="18"/>
              </w:rPr>
            </w:pPr>
            <w:r w:rsidRPr="007556D1">
              <w:rPr>
                <w:rFonts w:ascii="Verdana" w:hAnsi="Verdana"/>
                <w:b/>
                <w:bCs/>
                <w:sz w:val="18"/>
                <w:szCs w:val="18"/>
              </w:rPr>
              <w:t>§ 56.</w:t>
            </w:r>
            <w:r w:rsidRPr="007556D1">
              <w:rPr>
                <w:rFonts w:ascii="Verdana" w:hAnsi="Verdana"/>
                <w:sz w:val="18"/>
                <w:szCs w:val="18"/>
              </w:rPr>
              <w:t xml:space="preserve"> </w:t>
            </w:r>
          </w:p>
        </w:tc>
        <w:tc>
          <w:tcPr>
            <w:tcW w:w="9433" w:type="dxa"/>
          </w:tcPr>
          <w:p w14:paraId="4A0BF1B6" w14:textId="5CA464BD" w:rsidR="00B87DE6" w:rsidRPr="007556D1" w:rsidRDefault="00B87DE6" w:rsidP="0082179A">
            <w:pPr>
              <w:rPr>
                <w:rFonts w:ascii="Verdana" w:hAnsi="Verdana"/>
                <w:sz w:val="18"/>
                <w:szCs w:val="18"/>
              </w:rPr>
            </w:pPr>
            <w:r w:rsidRPr="007556D1">
              <w:rPr>
                <w:rFonts w:ascii="Verdana" w:hAnsi="Verdana"/>
                <w:sz w:val="18"/>
                <w:szCs w:val="18"/>
              </w:rPr>
              <w:t>Ny, men blot omformulering af gl. bestemmelse i tilsynsafsnittet</w:t>
            </w:r>
          </w:p>
        </w:tc>
      </w:tr>
      <w:tr w:rsidR="00B87DE6" w:rsidRPr="007556D1" w14:paraId="23195068" w14:textId="383B60D9" w:rsidTr="007556D1">
        <w:tc>
          <w:tcPr>
            <w:tcW w:w="4106" w:type="dxa"/>
          </w:tcPr>
          <w:p w14:paraId="2154EDAB" w14:textId="51E03C52" w:rsidR="00B87DE6" w:rsidRPr="007556D1" w:rsidRDefault="00B87DE6" w:rsidP="0082179A">
            <w:pPr>
              <w:pStyle w:val="Default"/>
              <w:rPr>
                <w:rFonts w:ascii="Verdana" w:hAnsi="Verdana"/>
                <w:b/>
                <w:bCs/>
                <w:sz w:val="18"/>
                <w:szCs w:val="18"/>
              </w:rPr>
            </w:pPr>
            <w:r w:rsidRPr="007556D1">
              <w:rPr>
                <w:rFonts w:ascii="Verdana" w:hAnsi="Verdana"/>
                <w:i/>
                <w:iCs/>
                <w:sz w:val="18"/>
                <w:szCs w:val="18"/>
              </w:rPr>
              <w:t>Krav til hygiejne for materialer, som kommer i kontakt med drikkevand</w:t>
            </w:r>
          </w:p>
        </w:tc>
        <w:tc>
          <w:tcPr>
            <w:tcW w:w="9433" w:type="dxa"/>
          </w:tcPr>
          <w:p w14:paraId="522E8240" w14:textId="1866FCBA" w:rsidR="00B87DE6" w:rsidRPr="007556D1" w:rsidRDefault="00B87DE6" w:rsidP="0082179A">
            <w:pPr>
              <w:autoSpaceDE w:val="0"/>
              <w:autoSpaceDN w:val="0"/>
              <w:adjustRightInd w:val="0"/>
              <w:rPr>
                <w:rFonts w:ascii="Verdana" w:hAnsi="Verdana"/>
                <w:sz w:val="18"/>
                <w:szCs w:val="18"/>
              </w:rPr>
            </w:pPr>
            <w:r w:rsidRPr="007556D1">
              <w:rPr>
                <w:rFonts w:ascii="Verdana" w:hAnsi="Verdana" w:cs="Adobe Clean DC"/>
                <w:color w:val="000000"/>
                <w:kern w:val="0"/>
                <w:sz w:val="18"/>
                <w:szCs w:val="18"/>
              </w:rPr>
              <w:t>Hygiejne bør udgå af sætningen, matcher ikke resten af §56a, som er bredere end blot hygiejne</w:t>
            </w:r>
          </w:p>
        </w:tc>
      </w:tr>
      <w:tr w:rsidR="00B87DE6" w:rsidRPr="007556D1" w14:paraId="349E0373" w14:textId="522E2880" w:rsidTr="007556D1">
        <w:tc>
          <w:tcPr>
            <w:tcW w:w="4106" w:type="dxa"/>
          </w:tcPr>
          <w:p w14:paraId="1BFE8429" w14:textId="01A9480B" w:rsidR="00B87DE6" w:rsidRPr="007556D1" w:rsidRDefault="00B87DE6" w:rsidP="00B87DE6">
            <w:pPr>
              <w:pStyle w:val="Default"/>
              <w:rPr>
                <w:rFonts w:ascii="Verdana" w:hAnsi="Verdana"/>
                <w:b/>
                <w:bCs/>
                <w:sz w:val="18"/>
                <w:szCs w:val="18"/>
              </w:rPr>
            </w:pPr>
            <w:r w:rsidRPr="007556D1">
              <w:rPr>
                <w:rFonts w:ascii="Verdana" w:hAnsi="Verdana"/>
                <w:b/>
                <w:bCs/>
                <w:sz w:val="18"/>
                <w:szCs w:val="18"/>
              </w:rPr>
              <w:t xml:space="preserve">§ 56 a. </w:t>
            </w:r>
          </w:p>
        </w:tc>
        <w:tc>
          <w:tcPr>
            <w:tcW w:w="9433" w:type="dxa"/>
          </w:tcPr>
          <w:p w14:paraId="7CBB0A93" w14:textId="79F6D75F" w:rsidR="00B87DE6" w:rsidRPr="007556D1" w:rsidRDefault="00B87DE6" w:rsidP="0082179A">
            <w:pPr>
              <w:rPr>
                <w:rFonts w:ascii="Verdana" w:hAnsi="Verdana"/>
                <w:color w:val="000000" w:themeColor="text1"/>
                <w:sz w:val="18"/>
                <w:szCs w:val="18"/>
              </w:rPr>
            </w:pPr>
            <w:r w:rsidRPr="007556D1">
              <w:rPr>
                <w:rFonts w:ascii="Verdana" w:hAnsi="Verdana"/>
                <w:color w:val="000000" w:themeColor="text1"/>
                <w:sz w:val="18"/>
                <w:szCs w:val="18"/>
              </w:rPr>
              <w:t>Her savnes en nærmere angivelse af hvilke nationale foranstaltninger om specifikke minimumskrav miljøministeren tænker at opretholde eller vedtage frem mod Kommissionens vedtagelse af gennemførelsesretsakterne.</w:t>
            </w:r>
          </w:p>
          <w:p w14:paraId="36298A63" w14:textId="73BA435B" w:rsidR="00B87DE6" w:rsidRPr="007556D1" w:rsidRDefault="00B87DE6" w:rsidP="0082179A">
            <w:pPr>
              <w:rPr>
                <w:rFonts w:ascii="Verdana" w:hAnsi="Verdana"/>
                <w:color w:val="000000" w:themeColor="text1"/>
                <w:sz w:val="18"/>
                <w:szCs w:val="18"/>
              </w:rPr>
            </w:pPr>
          </w:p>
          <w:p w14:paraId="06F7907F" w14:textId="26D45040" w:rsidR="00B87DE6" w:rsidRPr="007556D1" w:rsidRDefault="00B87DE6" w:rsidP="0082179A">
            <w:pPr>
              <w:rPr>
                <w:rFonts w:ascii="Verdana" w:hAnsi="Verdana"/>
                <w:color w:val="000000" w:themeColor="text1"/>
                <w:sz w:val="18"/>
                <w:szCs w:val="18"/>
              </w:rPr>
            </w:pPr>
            <w:r w:rsidRPr="007556D1">
              <w:rPr>
                <w:rFonts w:ascii="Verdana" w:hAnsi="Verdana"/>
                <w:color w:val="000000" w:themeColor="text1"/>
                <w:sz w:val="18"/>
                <w:szCs w:val="18"/>
              </w:rPr>
              <w:lastRenderedPageBreak/>
              <w:t>Alternativet til ovenstående kunne være en overgangsordning indtil retsakterne er vedtaget af Kommissionen.</w:t>
            </w:r>
          </w:p>
          <w:p w14:paraId="3C989822" w14:textId="77777777" w:rsidR="00B87DE6" w:rsidRPr="007556D1" w:rsidRDefault="00B87DE6" w:rsidP="0082179A">
            <w:pPr>
              <w:rPr>
                <w:rFonts w:ascii="Verdana" w:hAnsi="Verdana"/>
                <w:color w:val="000000" w:themeColor="text1"/>
                <w:sz w:val="18"/>
                <w:szCs w:val="18"/>
              </w:rPr>
            </w:pPr>
          </w:p>
          <w:p w14:paraId="0E20EC98" w14:textId="1ACDA07D" w:rsidR="00B87DE6" w:rsidRPr="007556D1" w:rsidRDefault="00B87DE6" w:rsidP="00B87DE6">
            <w:pPr>
              <w:rPr>
                <w:rFonts w:ascii="Verdana" w:hAnsi="Verdana"/>
                <w:sz w:val="18"/>
                <w:szCs w:val="18"/>
              </w:rPr>
            </w:pPr>
            <w:r w:rsidRPr="007556D1">
              <w:rPr>
                <w:rFonts w:ascii="Verdana" w:hAnsi="Verdana"/>
                <w:color w:val="000000" w:themeColor="text1"/>
                <w:sz w:val="18"/>
                <w:szCs w:val="18"/>
              </w:rPr>
              <w:t xml:space="preserve">Alt arbejde på vandinstallationer giver anledning til øget mikrobiologisk vækst, i en periode. Dog ikke nødvendigvis materialehenførbart. Hvordan adskilles materialeanvendelsen fra almindelige udsving i vandkvaliteten ved arbejde på vandinstallationer? Det styrer vi pt. i systemer for at opretholde fødevaresikkerheden f.eks. ISO22000. </w:t>
            </w:r>
            <w:r w:rsidRPr="007556D1">
              <w:rPr>
                <w:rFonts w:ascii="Verdana" w:hAnsi="Verdana"/>
                <w:sz w:val="18"/>
                <w:szCs w:val="18"/>
              </w:rPr>
              <w:t>GDV-ordningen ophæves når de nye regler finder anvendelse – da vi ikke ved, hvornår Retsakterne træder i kraft og hvad de indeholder, skal vi opretholde materialearbejdet for vandselskaberne indtil fuld implementering.</w:t>
            </w:r>
          </w:p>
        </w:tc>
      </w:tr>
      <w:tr w:rsidR="00B87DE6" w:rsidRPr="007556D1" w14:paraId="31C5CBD7" w14:textId="2C0AC4BD" w:rsidTr="007556D1">
        <w:tc>
          <w:tcPr>
            <w:tcW w:w="4106" w:type="dxa"/>
          </w:tcPr>
          <w:p w14:paraId="47C9EC01" w14:textId="59D11406" w:rsidR="00B87DE6" w:rsidRPr="007556D1" w:rsidRDefault="00B87DE6" w:rsidP="00B87DE6">
            <w:pPr>
              <w:pStyle w:val="Default"/>
              <w:rPr>
                <w:rFonts w:ascii="Verdana" w:hAnsi="Verdana"/>
                <w:b/>
                <w:bCs/>
                <w:sz w:val="18"/>
                <w:szCs w:val="18"/>
              </w:rPr>
            </w:pPr>
            <w:r w:rsidRPr="007556D1">
              <w:rPr>
                <w:rFonts w:ascii="Verdana" w:hAnsi="Verdana"/>
                <w:b/>
                <w:bCs/>
                <w:sz w:val="18"/>
                <w:szCs w:val="18"/>
              </w:rPr>
              <w:lastRenderedPageBreak/>
              <w:t>§ 56 b</w:t>
            </w:r>
          </w:p>
        </w:tc>
        <w:tc>
          <w:tcPr>
            <w:tcW w:w="9433" w:type="dxa"/>
          </w:tcPr>
          <w:p w14:paraId="79491F7A" w14:textId="11AE26D0" w:rsidR="00B87DE6" w:rsidRPr="007556D1" w:rsidRDefault="00B87DE6" w:rsidP="0082179A">
            <w:pPr>
              <w:autoSpaceDE w:val="0"/>
              <w:autoSpaceDN w:val="0"/>
              <w:adjustRightInd w:val="0"/>
              <w:rPr>
                <w:rFonts w:ascii="Verdana" w:hAnsi="Verdana" w:cs="Adobe Clean DC"/>
                <w:kern w:val="0"/>
                <w:sz w:val="18"/>
                <w:szCs w:val="18"/>
              </w:rPr>
            </w:pPr>
            <w:r w:rsidRPr="007556D1">
              <w:rPr>
                <w:rFonts w:ascii="Verdana" w:hAnsi="Verdana"/>
                <w:sz w:val="18"/>
                <w:szCs w:val="18"/>
              </w:rPr>
              <w:t xml:space="preserve">Betyder det at </w:t>
            </w:r>
            <w:r w:rsidRPr="007556D1">
              <w:rPr>
                <w:rFonts w:ascii="Verdana" w:hAnsi="Verdana" w:cs="Adobe Clean DC"/>
                <w:color w:val="000000"/>
                <w:kern w:val="0"/>
                <w:sz w:val="18"/>
                <w:szCs w:val="18"/>
              </w:rPr>
              <w:t xml:space="preserve">materialet er godkendt hvis det overholder de fastsatte </w:t>
            </w:r>
            <w:proofErr w:type="gramStart"/>
            <w:r w:rsidRPr="007556D1">
              <w:rPr>
                <w:rFonts w:ascii="Verdana" w:hAnsi="Verdana" w:cs="Adobe Clean DC"/>
                <w:color w:val="000000"/>
                <w:kern w:val="0"/>
                <w:sz w:val="18"/>
                <w:szCs w:val="18"/>
              </w:rPr>
              <w:t>EU krav</w:t>
            </w:r>
            <w:proofErr w:type="gramEnd"/>
            <w:r w:rsidRPr="007556D1">
              <w:rPr>
                <w:rFonts w:ascii="Verdana" w:hAnsi="Verdana" w:cs="Adobe Clean DC"/>
                <w:color w:val="000000"/>
                <w:kern w:val="0"/>
                <w:sz w:val="18"/>
                <w:szCs w:val="18"/>
              </w:rPr>
              <w:t>?</w:t>
            </w:r>
          </w:p>
          <w:p w14:paraId="286FB3E3" w14:textId="0549793E" w:rsidR="00B87DE6" w:rsidRPr="007556D1" w:rsidRDefault="00B87DE6" w:rsidP="0082179A">
            <w:pPr>
              <w:rPr>
                <w:rFonts w:ascii="Verdana" w:hAnsi="Verdana"/>
                <w:sz w:val="18"/>
                <w:szCs w:val="18"/>
              </w:rPr>
            </w:pPr>
          </w:p>
        </w:tc>
      </w:tr>
      <w:tr w:rsidR="00B87DE6" w:rsidRPr="007556D1" w14:paraId="137C378F" w14:textId="58A261B9" w:rsidTr="007556D1">
        <w:tc>
          <w:tcPr>
            <w:tcW w:w="4106" w:type="dxa"/>
          </w:tcPr>
          <w:p w14:paraId="59E85F90" w14:textId="1209CD95" w:rsidR="00B87DE6" w:rsidRPr="007556D1" w:rsidRDefault="00B87DE6" w:rsidP="0082179A">
            <w:pPr>
              <w:pStyle w:val="Default"/>
              <w:rPr>
                <w:rFonts w:ascii="Verdana" w:hAnsi="Verdana"/>
                <w:b/>
                <w:bCs/>
                <w:sz w:val="18"/>
                <w:szCs w:val="18"/>
              </w:rPr>
            </w:pPr>
            <w:r w:rsidRPr="007556D1">
              <w:rPr>
                <w:rFonts w:ascii="Verdana" w:hAnsi="Verdana"/>
                <w:i/>
                <w:iCs/>
                <w:sz w:val="18"/>
                <w:szCs w:val="18"/>
              </w:rPr>
              <w:t>Udpegning og notifikation af godkendelses- og overensstemmelsesvurderingsorganer</w:t>
            </w:r>
          </w:p>
        </w:tc>
        <w:tc>
          <w:tcPr>
            <w:tcW w:w="9433" w:type="dxa"/>
          </w:tcPr>
          <w:p w14:paraId="42A70B27" w14:textId="77777777" w:rsidR="00B87DE6" w:rsidRPr="007556D1" w:rsidRDefault="00B87DE6" w:rsidP="0082179A">
            <w:pPr>
              <w:rPr>
                <w:rFonts w:ascii="Verdana" w:hAnsi="Verdana"/>
                <w:sz w:val="18"/>
                <w:szCs w:val="18"/>
              </w:rPr>
            </w:pPr>
          </w:p>
        </w:tc>
      </w:tr>
      <w:tr w:rsidR="00B87DE6" w:rsidRPr="007556D1" w14:paraId="7C87E4A8" w14:textId="58515BAA" w:rsidTr="007556D1">
        <w:tc>
          <w:tcPr>
            <w:tcW w:w="4106" w:type="dxa"/>
          </w:tcPr>
          <w:p w14:paraId="03CCBE39" w14:textId="3DDF6D8A" w:rsidR="00B87DE6" w:rsidRPr="007556D1" w:rsidRDefault="00B87DE6" w:rsidP="00B87DE6">
            <w:pPr>
              <w:pStyle w:val="Default"/>
              <w:rPr>
                <w:rFonts w:ascii="Verdana" w:hAnsi="Verdana"/>
                <w:b/>
                <w:bCs/>
                <w:sz w:val="18"/>
                <w:szCs w:val="18"/>
              </w:rPr>
            </w:pPr>
            <w:r w:rsidRPr="007556D1">
              <w:rPr>
                <w:rFonts w:ascii="Verdana" w:hAnsi="Verdana"/>
                <w:b/>
                <w:bCs/>
                <w:sz w:val="18"/>
                <w:szCs w:val="18"/>
              </w:rPr>
              <w:t>§ 56 c.</w:t>
            </w:r>
            <w:r w:rsidRPr="007556D1">
              <w:rPr>
                <w:rFonts w:ascii="Verdana" w:hAnsi="Verdana"/>
                <w:sz w:val="18"/>
                <w:szCs w:val="18"/>
              </w:rPr>
              <w:t xml:space="preserve"> </w:t>
            </w:r>
          </w:p>
        </w:tc>
        <w:tc>
          <w:tcPr>
            <w:tcW w:w="9433" w:type="dxa"/>
          </w:tcPr>
          <w:p w14:paraId="60AA51F8" w14:textId="70BA9685" w:rsidR="00B87DE6" w:rsidRPr="007556D1" w:rsidRDefault="00B87DE6" w:rsidP="0082179A">
            <w:pPr>
              <w:rPr>
                <w:rFonts w:ascii="Verdana" w:hAnsi="Verdana"/>
                <w:color w:val="FF0000"/>
                <w:sz w:val="18"/>
                <w:szCs w:val="18"/>
              </w:rPr>
            </w:pPr>
            <w:r w:rsidRPr="007556D1">
              <w:rPr>
                <w:rFonts w:ascii="Verdana" w:hAnsi="Verdana"/>
                <w:color w:val="000000" w:themeColor="text1"/>
                <w:sz w:val="18"/>
                <w:szCs w:val="18"/>
              </w:rPr>
              <w:t>Hvis afgørelsen ikke kan påklages, betyder det så at der kan ansøges på ny med svar på eventuelle begrundelser for afslag?</w:t>
            </w:r>
          </w:p>
        </w:tc>
      </w:tr>
      <w:tr w:rsidR="00B87DE6" w:rsidRPr="007556D1" w14:paraId="09DFD29E" w14:textId="79AA28A0" w:rsidTr="007556D1">
        <w:tc>
          <w:tcPr>
            <w:tcW w:w="4106" w:type="dxa"/>
          </w:tcPr>
          <w:p w14:paraId="3BAF2063" w14:textId="4C133956" w:rsidR="00B87DE6" w:rsidRPr="007556D1" w:rsidRDefault="00B87DE6" w:rsidP="00B87DE6">
            <w:pPr>
              <w:pStyle w:val="Default"/>
              <w:rPr>
                <w:rFonts w:ascii="Verdana" w:hAnsi="Verdana"/>
                <w:b/>
                <w:bCs/>
                <w:sz w:val="18"/>
                <w:szCs w:val="18"/>
              </w:rPr>
            </w:pPr>
            <w:r w:rsidRPr="007556D1">
              <w:rPr>
                <w:rFonts w:ascii="Verdana" w:hAnsi="Verdana"/>
                <w:b/>
                <w:bCs/>
                <w:sz w:val="18"/>
                <w:szCs w:val="18"/>
              </w:rPr>
              <w:t xml:space="preserve">§ 56 d. </w:t>
            </w:r>
          </w:p>
        </w:tc>
        <w:tc>
          <w:tcPr>
            <w:tcW w:w="9433" w:type="dxa"/>
          </w:tcPr>
          <w:p w14:paraId="487A4B02" w14:textId="549BBEBE" w:rsidR="00B87DE6" w:rsidRPr="007556D1" w:rsidRDefault="00B87DE6" w:rsidP="0082179A">
            <w:pPr>
              <w:rPr>
                <w:rFonts w:ascii="Verdana" w:hAnsi="Verdana"/>
                <w:color w:val="FF0000"/>
                <w:sz w:val="18"/>
                <w:szCs w:val="18"/>
              </w:rPr>
            </w:pPr>
            <w:r w:rsidRPr="007556D1">
              <w:rPr>
                <w:rFonts w:ascii="Verdana" w:hAnsi="Verdana"/>
                <w:color w:val="000000" w:themeColor="text1"/>
                <w:sz w:val="18"/>
                <w:szCs w:val="18"/>
              </w:rPr>
              <w:t>Se ovenfor</w:t>
            </w:r>
          </w:p>
        </w:tc>
      </w:tr>
      <w:tr w:rsidR="00B87DE6" w:rsidRPr="007556D1" w14:paraId="0619DCBD" w14:textId="1594475D" w:rsidTr="007556D1">
        <w:tc>
          <w:tcPr>
            <w:tcW w:w="4106" w:type="dxa"/>
          </w:tcPr>
          <w:p w14:paraId="436469C0" w14:textId="2935F4E9" w:rsidR="00B87DE6" w:rsidRPr="007556D1" w:rsidRDefault="00B87DE6" w:rsidP="0082179A">
            <w:pPr>
              <w:pStyle w:val="Default"/>
              <w:rPr>
                <w:rFonts w:ascii="Verdana" w:hAnsi="Verdana"/>
                <w:b/>
                <w:bCs/>
                <w:sz w:val="18"/>
                <w:szCs w:val="18"/>
              </w:rPr>
            </w:pPr>
            <w:r w:rsidRPr="007556D1">
              <w:rPr>
                <w:rFonts w:ascii="Verdana" w:hAnsi="Verdana"/>
                <w:b/>
                <w:bCs/>
                <w:sz w:val="18"/>
                <w:szCs w:val="18"/>
              </w:rPr>
              <w:t xml:space="preserve">§ 56 e. </w:t>
            </w:r>
            <w:r w:rsidRPr="007556D1">
              <w:rPr>
                <w:rFonts w:ascii="Verdana" w:hAnsi="Verdana"/>
                <w:sz w:val="18"/>
                <w:szCs w:val="18"/>
              </w:rPr>
              <w:t>Miljøministeren fastsætter regler om anvendelse af og krav til behandlingskemikalier og filtermedier, der kommer i kontakt med drikkevand, herunder om vurdering af renheden og sikring af kvaliteten af disse behandlingskemikalier og filtermedier.</w:t>
            </w:r>
          </w:p>
        </w:tc>
        <w:tc>
          <w:tcPr>
            <w:tcW w:w="9433" w:type="dxa"/>
          </w:tcPr>
          <w:p w14:paraId="42CAD8A5" w14:textId="70036E8F" w:rsidR="00B87DE6" w:rsidRPr="007556D1" w:rsidRDefault="00B87DE6" w:rsidP="0082179A">
            <w:pPr>
              <w:rPr>
                <w:rFonts w:ascii="Verdana" w:hAnsi="Verdana"/>
                <w:sz w:val="18"/>
                <w:szCs w:val="18"/>
              </w:rPr>
            </w:pPr>
            <w:r w:rsidRPr="007556D1">
              <w:rPr>
                <w:rFonts w:ascii="Verdana" w:hAnsi="Verdana"/>
                <w:sz w:val="18"/>
                <w:szCs w:val="18"/>
              </w:rPr>
              <w:t xml:space="preserve">Europæiske standarder er ikke nødvendigvis gode nok til at garantere den renhed vi har behov for, vi stiller krav i </w:t>
            </w:r>
            <w:proofErr w:type="gramStart"/>
            <w:r w:rsidRPr="007556D1">
              <w:rPr>
                <w:rFonts w:ascii="Verdana" w:hAnsi="Verdana"/>
                <w:sz w:val="18"/>
                <w:szCs w:val="18"/>
              </w:rPr>
              <w:t>udbud</w:t>
            </w:r>
            <w:proofErr w:type="gramEnd"/>
            <w:r w:rsidRPr="007556D1">
              <w:rPr>
                <w:rFonts w:ascii="Verdana" w:hAnsi="Verdana"/>
                <w:sz w:val="18"/>
                <w:szCs w:val="18"/>
              </w:rPr>
              <w:t xml:space="preserve"> men der bør også stilles krav til systemet, der ligger bag ift. kontrol af produktkvalitet, det sker ikke ved blot at henvise til en standard, der skal være krav om kontrol og formen af dokumentation.</w:t>
            </w:r>
          </w:p>
          <w:p w14:paraId="440554AB" w14:textId="77777777" w:rsidR="00B87DE6" w:rsidRPr="007556D1" w:rsidRDefault="00B87DE6" w:rsidP="0082179A">
            <w:pPr>
              <w:rPr>
                <w:rFonts w:ascii="Verdana" w:hAnsi="Verdana"/>
                <w:color w:val="FF0000"/>
                <w:sz w:val="18"/>
                <w:szCs w:val="18"/>
              </w:rPr>
            </w:pPr>
          </w:p>
          <w:p w14:paraId="7E39B6B9" w14:textId="1ED72E02" w:rsidR="00B87DE6" w:rsidRPr="007556D1" w:rsidRDefault="00B87DE6" w:rsidP="0082179A">
            <w:pPr>
              <w:rPr>
                <w:rFonts w:ascii="Verdana" w:hAnsi="Verdana"/>
                <w:sz w:val="18"/>
                <w:szCs w:val="18"/>
              </w:rPr>
            </w:pPr>
            <w:r w:rsidRPr="007556D1">
              <w:rPr>
                <w:rFonts w:ascii="Verdana" w:hAnsi="Verdana"/>
                <w:color w:val="000000" w:themeColor="text1"/>
                <w:sz w:val="18"/>
                <w:szCs w:val="18"/>
              </w:rPr>
              <w:t>Filtermaterialerne skal have samme krav som øvrige komponenter. Det er der hvor vandkontakten og dermed konsekvensen ved afsmitning er allerstørst.</w:t>
            </w:r>
          </w:p>
        </w:tc>
      </w:tr>
      <w:tr w:rsidR="00B87DE6" w:rsidRPr="007556D1" w14:paraId="463F34F5" w14:textId="4DFA4D69" w:rsidTr="007556D1">
        <w:tc>
          <w:tcPr>
            <w:tcW w:w="4106" w:type="dxa"/>
          </w:tcPr>
          <w:p w14:paraId="02184548" w14:textId="77777777" w:rsidR="00B87DE6" w:rsidRPr="007556D1" w:rsidRDefault="00B87DE6" w:rsidP="0082179A">
            <w:pPr>
              <w:pStyle w:val="Default"/>
              <w:rPr>
                <w:rFonts w:ascii="Verdana" w:hAnsi="Verdana"/>
                <w:sz w:val="18"/>
                <w:szCs w:val="18"/>
              </w:rPr>
            </w:pPr>
            <w:r w:rsidRPr="007556D1">
              <w:rPr>
                <w:rFonts w:ascii="Verdana" w:hAnsi="Verdana"/>
                <w:i/>
                <w:iCs/>
                <w:sz w:val="18"/>
                <w:szCs w:val="18"/>
              </w:rPr>
              <w:t xml:space="preserve">Drikkevandskvalitet og tilsyn hermed </w:t>
            </w:r>
          </w:p>
          <w:p w14:paraId="588B9C1D" w14:textId="782682A4" w:rsidR="00B87DE6" w:rsidRPr="007556D1" w:rsidRDefault="00B87DE6" w:rsidP="0082179A">
            <w:pPr>
              <w:pStyle w:val="Default"/>
              <w:rPr>
                <w:rFonts w:ascii="Verdana" w:hAnsi="Verdana"/>
                <w:i/>
                <w:iCs/>
                <w:sz w:val="18"/>
                <w:szCs w:val="18"/>
              </w:rPr>
            </w:pPr>
            <w:r w:rsidRPr="007556D1">
              <w:rPr>
                <w:rFonts w:ascii="Verdana" w:hAnsi="Verdana"/>
                <w:i/>
                <w:iCs/>
                <w:sz w:val="18"/>
                <w:szCs w:val="18"/>
              </w:rPr>
              <w:t>Krav til vandets kvalitet</w:t>
            </w:r>
          </w:p>
        </w:tc>
        <w:tc>
          <w:tcPr>
            <w:tcW w:w="9433" w:type="dxa"/>
          </w:tcPr>
          <w:p w14:paraId="7EF0D9E0" w14:textId="77777777" w:rsidR="00B87DE6" w:rsidRPr="007556D1" w:rsidRDefault="00B87DE6" w:rsidP="0082179A">
            <w:pPr>
              <w:rPr>
                <w:rFonts w:ascii="Verdana" w:hAnsi="Verdana"/>
                <w:sz w:val="18"/>
                <w:szCs w:val="18"/>
              </w:rPr>
            </w:pPr>
          </w:p>
        </w:tc>
      </w:tr>
      <w:tr w:rsidR="00B87DE6" w:rsidRPr="007556D1" w14:paraId="3EFF5FA0" w14:textId="2D76442A" w:rsidTr="007556D1">
        <w:tc>
          <w:tcPr>
            <w:tcW w:w="4106" w:type="dxa"/>
          </w:tcPr>
          <w:p w14:paraId="3BF5BC24" w14:textId="19F7672E" w:rsidR="00B87DE6" w:rsidRPr="007556D1" w:rsidRDefault="00B87DE6" w:rsidP="0082179A">
            <w:pPr>
              <w:pStyle w:val="Default"/>
              <w:rPr>
                <w:rFonts w:ascii="Verdana" w:hAnsi="Verdana"/>
                <w:b/>
                <w:bCs/>
                <w:sz w:val="18"/>
                <w:szCs w:val="18"/>
              </w:rPr>
            </w:pPr>
            <w:r w:rsidRPr="007556D1">
              <w:rPr>
                <w:rFonts w:ascii="Verdana" w:hAnsi="Verdana"/>
                <w:i/>
                <w:iCs/>
                <w:sz w:val="18"/>
                <w:szCs w:val="18"/>
              </w:rPr>
              <w:t xml:space="preserve">§59 Stk. 2. </w:t>
            </w:r>
          </w:p>
        </w:tc>
        <w:tc>
          <w:tcPr>
            <w:tcW w:w="9433" w:type="dxa"/>
          </w:tcPr>
          <w:p w14:paraId="5D3F7423" w14:textId="08157AA4" w:rsidR="00B87DE6" w:rsidRPr="007556D1" w:rsidRDefault="00B87DE6" w:rsidP="0082179A">
            <w:pPr>
              <w:rPr>
                <w:rFonts w:ascii="Verdana" w:hAnsi="Verdana"/>
                <w:sz w:val="18"/>
                <w:szCs w:val="18"/>
              </w:rPr>
            </w:pPr>
            <w:r w:rsidRPr="007556D1">
              <w:rPr>
                <w:rFonts w:ascii="Verdana" w:hAnsi="Verdana"/>
                <w:sz w:val="18"/>
                <w:szCs w:val="18"/>
              </w:rPr>
              <w:t xml:space="preserve">Gælder ”almindelig” indvinding af havvand. Afsaltning af havvand på skibe er undtaget og reguleres via §64a. </w:t>
            </w:r>
          </w:p>
        </w:tc>
      </w:tr>
      <w:tr w:rsidR="00B87DE6" w:rsidRPr="007556D1" w14:paraId="71142501" w14:textId="03F783C3" w:rsidTr="007556D1">
        <w:tc>
          <w:tcPr>
            <w:tcW w:w="4106" w:type="dxa"/>
          </w:tcPr>
          <w:p w14:paraId="38DA83B2" w14:textId="27329943" w:rsidR="00B87DE6" w:rsidRPr="007556D1" w:rsidRDefault="00B87DE6" w:rsidP="0082179A">
            <w:pPr>
              <w:pStyle w:val="Default"/>
              <w:rPr>
                <w:rFonts w:ascii="Verdana" w:hAnsi="Verdana"/>
                <w:i/>
                <w:iCs/>
                <w:sz w:val="18"/>
                <w:szCs w:val="18"/>
              </w:rPr>
            </w:pPr>
            <w:r w:rsidRPr="007556D1">
              <w:rPr>
                <w:rFonts w:ascii="Verdana" w:hAnsi="Verdana"/>
                <w:i/>
                <w:iCs/>
                <w:sz w:val="18"/>
                <w:szCs w:val="18"/>
              </w:rPr>
              <w:t>Overvågningsboringer</w:t>
            </w:r>
          </w:p>
        </w:tc>
        <w:tc>
          <w:tcPr>
            <w:tcW w:w="9433" w:type="dxa"/>
          </w:tcPr>
          <w:p w14:paraId="31FB2526" w14:textId="77777777" w:rsidR="00B87DE6" w:rsidRPr="007556D1" w:rsidRDefault="00B87DE6" w:rsidP="0082179A">
            <w:pPr>
              <w:rPr>
                <w:rFonts w:ascii="Verdana" w:hAnsi="Verdana"/>
                <w:sz w:val="18"/>
                <w:szCs w:val="18"/>
              </w:rPr>
            </w:pPr>
          </w:p>
        </w:tc>
      </w:tr>
      <w:tr w:rsidR="00B87DE6" w:rsidRPr="007556D1" w14:paraId="27EB52F8" w14:textId="47E4520C" w:rsidTr="007556D1">
        <w:tc>
          <w:tcPr>
            <w:tcW w:w="4106" w:type="dxa"/>
          </w:tcPr>
          <w:p w14:paraId="1C281D62" w14:textId="7C39A260" w:rsidR="00B87DE6" w:rsidRPr="007556D1" w:rsidRDefault="00B87DE6" w:rsidP="0082179A">
            <w:pPr>
              <w:pStyle w:val="Default"/>
              <w:rPr>
                <w:rFonts w:ascii="Verdana" w:hAnsi="Verdana"/>
                <w:i/>
                <w:iCs/>
                <w:sz w:val="18"/>
                <w:szCs w:val="18"/>
              </w:rPr>
            </w:pPr>
            <w:r w:rsidRPr="007556D1">
              <w:rPr>
                <w:rFonts w:ascii="Verdana" w:hAnsi="Verdana"/>
                <w:i/>
                <w:iCs/>
                <w:sz w:val="18"/>
                <w:szCs w:val="18"/>
              </w:rPr>
              <w:t>Stk2</w:t>
            </w:r>
          </w:p>
        </w:tc>
        <w:tc>
          <w:tcPr>
            <w:tcW w:w="9433" w:type="dxa"/>
          </w:tcPr>
          <w:p w14:paraId="49FBEE8D" w14:textId="400CB35B" w:rsidR="00B87DE6" w:rsidRPr="007556D1" w:rsidRDefault="00B87DE6" w:rsidP="0082179A">
            <w:pPr>
              <w:rPr>
                <w:rFonts w:ascii="Verdana" w:hAnsi="Verdana"/>
                <w:sz w:val="18"/>
                <w:szCs w:val="18"/>
              </w:rPr>
            </w:pPr>
          </w:p>
        </w:tc>
      </w:tr>
      <w:tr w:rsidR="00B87DE6" w:rsidRPr="007556D1" w14:paraId="297DD622" w14:textId="4C71AADB" w:rsidTr="007556D1">
        <w:tc>
          <w:tcPr>
            <w:tcW w:w="4106" w:type="dxa"/>
          </w:tcPr>
          <w:p w14:paraId="094E1B4D" w14:textId="3AA24C81" w:rsidR="00B87DE6" w:rsidRPr="007556D1" w:rsidRDefault="00B87DE6" w:rsidP="0082179A">
            <w:pPr>
              <w:pStyle w:val="Default"/>
              <w:rPr>
                <w:rFonts w:ascii="Verdana" w:hAnsi="Verdana"/>
                <w:i/>
                <w:iCs/>
                <w:sz w:val="18"/>
                <w:szCs w:val="18"/>
              </w:rPr>
            </w:pPr>
            <w:r w:rsidRPr="007556D1">
              <w:rPr>
                <w:rFonts w:ascii="Verdana" w:hAnsi="Verdana"/>
                <w:i/>
                <w:iCs/>
                <w:sz w:val="18"/>
                <w:szCs w:val="18"/>
              </w:rPr>
              <w:t>Risikovurdering af forbrugernes fordelingsnet og foranstaltninger til imødegåelse af risici</w:t>
            </w:r>
          </w:p>
        </w:tc>
        <w:tc>
          <w:tcPr>
            <w:tcW w:w="9433" w:type="dxa"/>
          </w:tcPr>
          <w:p w14:paraId="147A0183" w14:textId="77777777" w:rsidR="00B87DE6" w:rsidRPr="007556D1" w:rsidRDefault="00B87DE6" w:rsidP="0082179A">
            <w:pPr>
              <w:rPr>
                <w:rFonts w:ascii="Verdana" w:hAnsi="Verdana"/>
                <w:sz w:val="18"/>
                <w:szCs w:val="18"/>
              </w:rPr>
            </w:pPr>
          </w:p>
        </w:tc>
      </w:tr>
      <w:tr w:rsidR="00B87DE6" w:rsidRPr="007556D1" w14:paraId="2BF1136B" w14:textId="0700FD4D" w:rsidTr="007556D1">
        <w:tc>
          <w:tcPr>
            <w:tcW w:w="4106" w:type="dxa"/>
          </w:tcPr>
          <w:p w14:paraId="3FC518ED" w14:textId="28F445F3" w:rsidR="00B87DE6" w:rsidRPr="007556D1" w:rsidRDefault="00B87DE6" w:rsidP="0082179A">
            <w:pPr>
              <w:pStyle w:val="Default"/>
              <w:rPr>
                <w:rFonts w:ascii="Verdana" w:hAnsi="Verdana"/>
                <w:i/>
                <w:iCs/>
                <w:sz w:val="18"/>
                <w:szCs w:val="18"/>
              </w:rPr>
            </w:pPr>
            <w:r w:rsidRPr="007556D1">
              <w:rPr>
                <w:rFonts w:ascii="Verdana" w:hAnsi="Verdana"/>
                <w:b/>
                <w:bCs/>
                <w:sz w:val="18"/>
                <w:szCs w:val="18"/>
              </w:rPr>
              <w:t>§ 59 b</w:t>
            </w:r>
          </w:p>
        </w:tc>
        <w:tc>
          <w:tcPr>
            <w:tcW w:w="9433" w:type="dxa"/>
          </w:tcPr>
          <w:p w14:paraId="075A1112" w14:textId="41A8612A" w:rsidR="00B87DE6" w:rsidRPr="007556D1" w:rsidRDefault="00B87DE6" w:rsidP="00B87DE6">
            <w:pPr>
              <w:rPr>
                <w:rFonts w:ascii="Verdana" w:hAnsi="Verdana"/>
                <w:sz w:val="18"/>
                <w:szCs w:val="18"/>
              </w:rPr>
            </w:pPr>
            <w:r w:rsidRPr="007556D1">
              <w:rPr>
                <w:rFonts w:ascii="Verdana" w:hAnsi="Verdana"/>
                <w:sz w:val="18"/>
                <w:szCs w:val="18"/>
              </w:rPr>
              <w:t>Der bør kun være en myndighed på installationsbetingede forureninger uanset vandets temperatur, det andet er forvirrende. Udelukkende en ejeropgave sammen med relevant myndighed jf. bemærkningerne. NB dobbelthjemmel i VFL §62 fjernes.</w:t>
            </w:r>
          </w:p>
        </w:tc>
      </w:tr>
      <w:tr w:rsidR="00B87DE6" w:rsidRPr="007556D1" w14:paraId="7CA57FD4" w14:textId="092DDF97" w:rsidTr="007556D1">
        <w:tc>
          <w:tcPr>
            <w:tcW w:w="4106" w:type="dxa"/>
          </w:tcPr>
          <w:p w14:paraId="7ADD62A4" w14:textId="377F50D2" w:rsidR="00B87DE6" w:rsidRPr="007556D1" w:rsidRDefault="00B87DE6" w:rsidP="0082179A">
            <w:pPr>
              <w:pStyle w:val="Default"/>
              <w:rPr>
                <w:rFonts w:ascii="Verdana" w:hAnsi="Verdana"/>
                <w:i/>
                <w:iCs/>
                <w:sz w:val="18"/>
                <w:szCs w:val="18"/>
              </w:rPr>
            </w:pPr>
            <w:r w:rsidRPr="007556D1">
              <w:rPr>
                <w:rFonts w:ascii="Verdana" w:hAnsi="Verdana"/>
                <w:i/>
                <w:iCs/>
                <w:sz w:val="18"/>
                <w:szCs w:val="18"/>
              </w:rPr>
              <w:t>Tilsyn med overholdelsen af krav til vandets kvalitet i vandforsyningssystemer</w:t>
            </w:r>
          </w:p>
        </w:tc>
        <w:tc>
          <w:tcPr>
            <w:tcW w:w="9433" w:type="dxa"/>
          </w:tcPr>
          <w:p w14:paraId="1A1E2218" w14:textId="77777777" w:rsidR="00B87DE6" w:rsidRPr="007556D1" w:rsidRDefault="00B87DE6" w:rsidP="0082179A">
            <w:pPr>
              <w:rPr>
                <w:rFonts w:ascii="Verdana" w:hAnsi="Verdana"/>
                <w:sz w:val="18"/>
                <w:szCs w:val="18"/>
              </w:rPr>
            </w:pPr>
          </w:p>
        </w:tc>
      </w:tr>
      <w:tr w:rsidR="00B87DE6" w:rsidRPr="007556D1" w14:paraId="6A832FD1" w14:textId="17F7A477" w:rsidTr="007556D1">
        <w:tc>
          <w:tcPr>
            <w:tcW w:w="4106" w:type="dxa"/>
          </w:tcPr>
          <w:p w14:paraId="7BFB30B4" w14:textId="5953F152" w:rsidR="00B87DE6" w:rsidRPr="007556D1" w:rsidRDefault="00B87DE6" w:rsidP="00220D46">
            <w:pPr>
              <w:pStyle w:val="Default"/>
              <w:rPr>
                <w:rFonts w:ascii="Verdana" w:hAnsi="Verdana"/>
                <w:color w:val="FF0000"/>
                <w:sz w:val="18"/>
                <w:szCs w:val="18"/>
              </w:rPr>
            </w:pPr>
            <w:r w:rsidRPr="007556D1">
              <w:rPr>
                <w:rFonts w:ascii="Verdana" w:hAnsi="Verdana"/>
                <w:b/>
                <w:bCs/>
                <w:sz w:val="18"/>
                <w:szCs w:val="18"/>
              </w:rPr>
              <w:t xml:space="preserve">§ 62. </w:t>
            </w:r>
          </w:p>
          <w:p w14:paraId="52C4FF16" w14:textId="045DC8FC" w:rsidR="00B87DE6" w:rsidRPr="007556D1" w:rsidRDefault="00B87DE6" w:rsidP="0082179A">
            <w:pPr>
              <w:pStyle w:val="Default"/>
              <w:rPr>
                <w:rFonts w:ascii="Verdana" w:hAnsi="Verdana"/>
                <w:i/>
                <w:iCs/>
                <w:sz w:val="18"/>
                <w:szCs w:val="18"/>
              </w:rPr>
            </w:pPr>
          </w:p>
        </w:tc>
        <w:tc>
          <w:tcPr>
            <w:tcW w:w="9433" w:type="dxa"/>
          </w:tcPr>
          <w:p w14:paraId="1B7E4ACE" w14:textId="01910A92" w:rsidR="00B87DE6" w:rsidRPr="007556D1" w:rsidRDefault="00B87DE6" w:rsidP="0082179A">
            <w:pPr>
              <w:pStyle w:val="Default"/>
              <w:rPr>
                <w:rFonts w:ascii="Verdana" w:hAnsi="Verdana"/>
                <w:sz w:val="18"/>
                <w:szCs w:val="18"/>
              </w:rPr>
            </w:pPr>
            <w:r w:rsidRPr="007556D1">
              <w:rPr>
                <w:rFonts w:ascii="Verdana" w:hAnsi="Verdana"/>
                <w:sz w:val="18"/>
                <w:szCs w:val="18"/>
              </w:rPr>
              <w:t xml:space="preserve">Ligger der andre overvejelser bag end direktivnærhed? </w:t>
            </w:r>
          </w:p>
          <w:p w14:paraId="0844DD8C" w14:textId="344F4667" w:rsidR="00B87DE6" w:rsidRPr="007556D1" w:rsidRDefault="00B87DE6" w:rsidP="0082179A">
            <w:pPr>
              <w:pStyle w:val="Default"/>
              <w:rPr>
                <w:rFonts w:ascii="Verdana" w:hAnsi="Verdana"/>
                <w:i/>
                <w:iCs/>
                <w:sz w:val="18"/>
                <w:szCs w:val="18"/>
              </w:rPr>
            </w:pPr>
            <w:r w:rsidRPr="007556D1">
              <w:rPr>
                <w:rFonts w:ascii="Verdana" w:hAnsi="Verdana"/>
                <w:sz w:val="18"/>
                <w:szCs w:val="18"/>
              </w:rPr>
              <w:t xml:space="preserve">Vandforsyningssystem, find et begreb der ikke omfatter husinstallationerne, da det udelukkende bør reguleres i byggeloven. </w:t>
            </w:r>
          </w:p>
          <w:p w14:paraId="1A841CDC" w14:textId="1A08135A" w:rsidR="00B87DE6" w:rsidRPr="007556D1" w:rsidRDefault="00B87DE6" w:rsidP="0082179A">
            <w:pPr>
              <w:pStyle w:val="Default"/>
              <w:rPr>
                <w:rFonts w:ascii="Verdana" w:hAnsi="Verdana"/>
                <w:sz w:val="18"/>
                <w:szCs w:val="18"/>
              </w:rPr>
            </w:pPr>
            <w:r w:rsidRPr="007556D1">
              <w:rPr>
                <w:rFonts w:ascii="Verdana" w:hAnsi="Verdana"/>
                <w:sz w:val="18"/>
                <w:szCs w:val="18"/>
              </w:rPr>
              <w:t>Stk. 6 Vender sætningen ikke forkert? Det skal vel drøftes med STPS når der er en overskridelse og afgørelsen af om overskridelsen er ubetydelig skal ske efter drøftelse med STPS.</w:t>
            </w:r>
          </w:p>
          <w:p w14:paraId="425B67B8" w14:textId="42DB34D8" w:rsidR="00B87DE6" w:rsidRPr="007556D1" w:rsidRDefault="00B87DE6" w:rsidP="0082179A">
            <w:pPr>
              <w:pStyle w:val="Default"/>
              <w:rPr>
                <w:rFonts w:ascii="Verdana" w:hAnsi="Verdana"/>
                <w:sz w:val="18"/>
                <w:szCs w:val="18"/>
              </w:rPr>
            </w:pPr>
            <w:r w:rsidRPr="007556D1">
              <w:rPr>
                <w:rFonts w:ascii="Verdana" w:hAnsi="Verdana"/>
                <w:sz w:val="18"/>
                <w:szCs w:val="18"/>
              </w:rPr>
              <w:lastRenderedPageBreak/>
              <w:t>Stk. 8 Hvad betyder dette, hvor jævnligt er jævnligt? Er det kogeanbefalinger?</w:t>
            </w:r>
          </w:p>
          <w:p w14:paraId="6A7AD4AB" w14:textId="37D4F39D" w:rsidR="00B87DE6" w:rsidRPr="007556D1" w:rsidRDefault="00B87DE6" w:rsidP="0082179A">
            <w:pPr>
              <w:pStyle w:val="Default"/>
              <w:rPr>
                <w:rFonts w:ascii="Verdana" w:hAnsi="Verdana"/>
                <w:sz w:val="18"/>
                <w:szCs w:val="18"/>
              </w:rPr>
            </w:pPr>
            <w:r w:rsidRPr="007556D1">
              <w:rPr>
                <w:rFonts w:ascii="Verdana" w:hAnsi="Verdana"/>
                <w:sz w:val="18"/>
                <w:szCs w:val="18"/>
              </w:rPr>
              <w:t>Vandforsyningerne har vel ikke rådgivningsforpligtigelsen jf. den husstandsmæssige risikovurdering?</w:t>
            </w:r>
          </w:p>
        </w:tc>
      </w:tr>
      <w:tr w:rsidR="00B87DE6" w:rsidRPr="007556D1" w14:paraId="105099E3" w14:textId="77F4091D" w:rsidTr="007556D1">
        <w:tc>
          <w:tcPr>
            <w:tcW w:w="4106" w:type="dxa"/>
          </w:tcPr>
          <w:p w14:paraId="62544ED5" w14:textId="5387896A" w:rsidR="00B87DE6" w:rsidRPr="007556D1" w:rsidRDefault="00B87DE6" w:rsidP="00220D46">
            <w:pPr>
              <w:pStyle w:val="Default"/>
              <w:rPr>
                <w:rFonts w:ascii="Verdana" w:hAnsi="Verdana"/>
                <w:i/>
                <w:iCs/>
                <w:sz w:val="18"/>
                <w:szCs w:val="18"/>
              </w:rPr>
            </w:pPr>
            <w:r w:rsidRPr="007556D1">
              <w:rPr>
                <w:rFonts w:ascii="Verdana" w:hAnsi="Verdana"/>
                <w:b/>
                <w:bCs/>
                <w:sz w:val="18"/>
                <w:szCs w:val="18"/>
              </w:rPr>
              <w:lastRenderedPageBreak/>
              <w:t>§ 64 b</w:t>
            </w:r>
          </w:p>
        </w:tc>
        <w:tc>
          <w:tcPr>
            <w:tcW w:w="9433" w:type="dxa"/>
          </w:tcPr>
          <w:p w14:paraId="7DFDA893" w14:textId="06045CCC" w:rsidR="00B87DE6" w:rsidRPr="007556D1" w:rsidRDefault="00B87DE6" w:rsidP="0082179A">
            <w:pPr>
              <w:rPr>
                <w:rFonts w:ascii="Verdana" w:hAnsi="Verdana"/>
                <w:sz w:val="18"/>
                <w:szCs w:val="18"/>
              </w:rPr>
            </w:pPr>
            <w:r w:rsidRPr="007556D1">
              <w:rPr>
                <w:rFonts w:ascii="Verdana" w:hAnsi="Verdana"/>
                <w:sz w:val="18"/>
                <w:szCs w:val="18"/>
              </w:rPr>
              <w:t>Ikke nødvendigvis vandposter men kort der viser hvor du kan finde offentligt vand af god kvalitet.</w:t>
            </w:r>
            <w:r w:rsidR="005D526D" w:rsidRPr="007556D1">
              <w:rPr>
                <w:rFonts w:ascii="Verdana" w:hAnsi="Verdana"/>
                <w:sz w:val="18"/>
                <w:szCs w:val="18"/>
              </w:rPr>
              <w:t xml:space="preserve"> </w:t>
            </w:r>
            <w:r w:rsidRPr="007556D1">
              <w:rPr>
                <w:rFonts w:ascii="Verdana" w:hAnsi="Verdana"/>
                <w:sz w:val="18"/>
                <w:szCs w:val="18"/>
              </w:rPr>
              <w:t>Præciser hvem der skal have ansvaret for dette udstyr - hygiejne mm.?</w:t>
            </w:r>
          </w:p>
          <w:p w14:paraId="067EACE2" w14:textId="77777777" w:rsidR="00B87DE6" w:rsidRPr="007556D1" w:rsidRDefault="00B87DE6" w:rsidP="0082179A">
            <w:pPr>
              <w:rPr>
                <w:rFonts w:ascii="Verdana" w:hAnsi="Verdana"/>
                <w:sz w:val="18"/>
                <w:szCs w:val="18"/>
              </w:rPr>
            </w:pPr>
          </w:p>
          <w:p w14:paraId="566C7649" w14:textId="77777777" w:rsidR="00B87DE6" w:rsidRPr="007556D1" w:rsidRDefault="00B87DE6" w:rsidP="0082179A">
            <w:pPr>
              <w:rPr>
                <w:rFonts w:ascii="Verdana" w:hAnsi="Verdana"/>
                <w:sz w:val="18"/>
                <w:szCs w:val="18"/>
              </w:rPr>
            </w:pPr>
          </w:p>
          <w:p w14:paraId="73469FFD" w14:textId="77777777" w:rsidR="00B87DE6" w:rsidRPr="007556D1" w:rsidRDefault="00B87DE6" w:rsidP="0082179A">
            <w:pPr>
              <w:rPr>
                <w:rFonts w:ascii="Verdana" w:hAnsi="Verdana"/>
                <w:sz w:val="18"/>
                <w:szCs w:val="18"/>
              </w:rPr>
            </w:pPr>
          </w:p>
          <w:p w14:paraId="4EBDEA56" w14:textId="77777777" w:rsidR="00B87DE6" w:rsidRPr="007556D1" w:rsidRDefault="00B87DE6" w:rsidP="0082179A">
            <w:pPr>
              <w:rPr>
                <w:rFonts w:ascii="Verdana" w:hAnsi="Verdana"/>
                <w:sz w:val="18"/>
                <w:szCs w:val="18"/>
              </w:rPr>
            </w:pPr>
          </w:p>
          <w:p w14:paraId="4E332B9C" w14:textId="77777777" w:rsidR="00B87DE6" w:rsidRPr="007556D1" w:rsidRDefault="00B87DE6" w:rsidP="0082179A">
            <w:pPr>
              <w:rPr>
                <w:rFonts w:ascii="Verdana" w:hAnsi="Verdana"/>
                <w:sz w:val="18"/>
                <w:szCs w:val="18"/>
              </w:rPr>
            </w:pPr>
          </w:p>
          <w:p w14:paraId="1B219922" w14:textId="77777777" w:rsidR="00B87DE6" w:rsidRPr="007556D1" w:rsidRDefault="00B87DE6" w:rsidP="0082179A">
            <w:pPr>
              <w:rPr>
                <w:rFonts w:ascii="Verdana" w:hAnsi="Verdana"/>
                <w:sz w:val="18"/>
                <w:szCs w:val="18"/>
              </w:rPr>
            </w:pPr>
          </w:p>
          <w:p w14:paraId="59857AE2" w14:textId="77777777" w:rsidR="00B87DE6" w:rsidRPr="007556D1" w:rsidRDefault="00B87DE6" w:rsidP="0082179A">
            <w:pPr>
              <w:rPr>
                <w:rFonts w:ascii="Verdana" w:hAnsi="Verdana"/>
                <w:sz w:val="18"/>
                <w:szCs w:val="18"/>
              </w:rPr>
            </w:pPr>
          </w:p>
          <w:p w14:paraId="4496FB35" w14:textId="77777777" w:rsidR="00B87DE6" w:rsidRPr="007556D1" w:rsidRDefault="00B87DE6" w:rsidP="0082179A">
            <w:pPr>
              <w:rPr>
                <w:rFonts w:ascii="Verdana" w:hAnsi="Verdana"/>
                <w:sz w:val="18"/>
                <w:szCs w:val="18"/>
              </w:rPr>
            </w:pPr>
          </w:p>
          <w:p w14:paraId="1D63CA5C" w14:textId="77777777" w:rsidR="00B87DE6" w:rsidRPr="007556D1" w:rsidRDefault="00B87DE6" w:rsidP="0082179A">
            <w:pPr>
              <w:rPr>
                <w:rFonts w:ascii="Verdana" w:hAnsi="Verdana"/>
                <w:sz w:val="18"/>
                <w:szCs w:val="18"/>
              </w:rPr>
            </w:pPr>
          </w:p>
          <w:p w14:paraId="5B1BC7E9" w14:textId="77777777" w:rsidR="00B87DE6" w:rsidRPr="007556D1" w:rsidRDefault="00B87DE6" w:rsidP="0082179A">
            <w:pPr>
              <w:rPr>
                <w:rFonts w:ascii="Verdana" w:hAnsi="Verdana"/>
                <w:sz w:val="18"/>
                <w:szCs w:val="18"/>
              </w:rPr>
            </w:pPr>
          </w:p>
          <w:p w14:paraId="183483BC" w14:textId="77777777" w:rsidR="00B87DE6" w:rsidRPr="007556D1" w:rsidRDefault="00B87DE6" w:rsidP="0082179A">
            <w:pPr>
              <w:rPr>
                <w:rFonts w:ascii="Verdana" w:hAnsi="Verdana"/>
                <w:sz w:val="18"/>
                <w:szCs w:val="18"/>
              </w:rPr>
            </w:pPr>
          </w:p>
          <w:p w14:paraId="113CAB7F" w14:textId="77777777" w:rsidR="00B87DE6" w:rsidRPr="007556D1" w:rsidRDefault="00B87DE6" w:rsidP="0082179A">
            <w:pPr>
              <w:rPr>
                <w:rFonts w:ascii="Verdana" w:hAnsi="Verdana"/>
                <w:sz w:val="18"/>
                <w:szCs w:val="18"/>
              </w:rPr>
            </w:pPr>
          </w:p>
          <w:p w14:paraId="1376C8E6" w14:textId="77777777" w:rsidR="00B87DE6" w:rsidRPr="007556D1" w:rsidRDefault="00B87DE6" w:rsidP="0082179A">
            <w:pPr>
              <w:rPr>
                <w:rFonts w:ascii="Verdana" w:hAnsi="Verdana"/>
                <w:sz w:val="18"/>
                <w:szCs w:val="18"/>
              </w:rPr>
            </w:pPr>
          </w:p>
          <w:p w14:paraId="30468B82" w14:textId="77777777" w:rsidR="00B87DE6" w:rsidRPr="007556D1" w:rsidRDefault="00B87DE6" w:rsidP="0082179A">
            <w:pPr>
              <w:rPr>
                <w:rFonts w:ascii="Verdana" w:hAnsi="Verdana"/>
                <w:sz w:val="18"/>
                <w:szCs w:val="18"/>
              </w:rPr>
            </w:pPr>
          </w:p>
          <w:p w14:paraId="6FAE4D0A" w14:textId="77777777" w:rsidR="00B87DE6" w:rsidRPr="007556D1" w:rsidRDefault="00B87DE6" w:rsidP="0082179A">
            <w:pPr>
              <w:rPr>
                <w:rFonts w:ascii="Verdana" w:hAnsi="Verdana"/>
                <w:sz w:val="18"/>
                <w:szCs w:val="18"/>
              </w:rPr>
            </w:pPr>
          </w:p>
          <w:p w14:paraId="673B0448" w14:textId="77777777" w:rsidR="00B87DE6" w:rsidRPr="007556D1" w:rsidRDefault="00B87DE6" w:rsidP="0082179A">
            <w:pPr>
              <w:rPr>
                <w:rFonts w:ascii="Verdana" w:hAnsi="Verdana"/>
                <w:sz w:val="18"/>
                <w:szCs w:val="18"/>
              </w:rPr>
            </w:pPr>
          </w:p>
          <w:p w14:paraId="12FFE3E3" w14:textId="77777777" w:rsidR="00B87DE6" w:rsidRPr="007556D1" w:rsidRDefault="00B87DE6" w:rsidP="0082179A">
            <w:pPr>
              <w:rPr>
                <w:rFonts w:ascii="Verdana" w:hAnsi="Verdana"/>
                <w:sz w:val="18"/>
                <w:szCs w:val="18"/>
              </w:rPr>
            </w:pPr>
          </w:p>
          <w:p w14:paraId="1C2A0CDB" w14:textId="77777777" w:rsidR="00B87DE6" w:rsidRPr="007556D1" w:rsidRDefault="00B87DE6" w:rsidP="0082179A">
            <w:pPr>
              <w:rPr>
                <w:rFonts w:ascii="Verdana" w:hAnsi="Verdana"/>
                <w:sz w:val="18"/>
                <w:szCs w:val="18"/>
              </w:rPr>
            </w:pPr>
          </w:p>
          <w:p w14:paraId="5A17D237" w14:textId="77777777" w:rsidR="00B87DE6" w:rsidRPr="007556D1" w:rsidRDefault="00B87DE6" w:rsidP="0082179A">
            <w:pPr>
              <w:rPr>
                <w:rFonts w:ascii="Verdana" w:hAnsi="Verdana"/>
                <w:sz w:val="18"/>
                <w:szCs w:val="18"/>
              </w:rPr>
            </w:pPr>
          </w:p>
          <w:p w14:paraId="13A74AD8" w14:textId="77777777" w:rsidR="00B87DE6" w:rsidRPr="007556D1" w:rsidRDefault="00B87DE6" w:rsidP="0082179A">
            <w:pPr>
              <w:rPr>
                <w:rFonts w:ascii="Verdana" w:hAnsi="Verdana"/>
                <w:sz w:val="18"/>
                <w:szCs w:val="18"/>
              </w:rPr>
            </w:pPr>
          </w:p>
          <w:p w14:paraId="5247CE9E" w14:textId="77777777" w:rsidR="00B87DE6" w:rsidRPr="007556D1" w:rsidRDefault="00B87DE6" w:rsidP="0082179A">
            <w:pPr>
              <w:rPr>
                <w:rFonts w:ascii="Verdana" w:hAnsi="Verdana"/>
                <w:sz w:val="18"/>
                <w:szCs w:val="18"/>
              </w:rPr>
            </w:pPr>
          </w:p>
          <w:p w14:paraId="3514E53A" w14:textId="77777777" w:rsidR="00B87DE6" w:rsidRPr="007556D1" w:rsidRDefault="00B87DE6" w:rsidP="0082179A">
            <w:pPr>
              <w:rPr>
                <w:rFonts w:ascii="Verdana" w:hAnsi="Verdana"/>
                <w:sz w:val="18"/>
                <w:szCs w:val="18"/>
              </w:rPr>
            </w:pPr>
          </w:p>
          <w:p w14:paraId="1859BDF1" w14:textId="718478A5" w:rsidR="00B87DE6" w:rsidRPr="007556D1" w:rsidRDefault="00B87DE6" w:rsidP="0082179A">
            <w:pPr>
              <w:rPr>
                <w:rFonts w:ascii="Verdana" w:hAnsi="Verdana"/>
                <w:sz w:val="18"/>
                <w:szCs w:val="18"/>
              </w:rPr>
            </w:pPr>
            <w:r w:rsidRPr="007556D1">
              <w:rPr>
                <w:rFonts w:ascii="Verdana" w:hAnsi="Verdana"/>
                <w:sz w:val="18"/>
                <w:szCs w:val="18"/>
              </w:rPr>
              <w:t>Kan bestemmelse – hvis den udnyttes, så selskaberne skal noget, så er det mod fuld omkostningsdækning.</w:t>
            </w:r>
          </w:p>
          <w:p w14:paraId="1F7491B2" w14:textId="77777777" w:rsidR="00B87DE6" w:rsidRPr="007556D1" w:rsidRDefault="00B87DE6" w:rsidP="0082179A">
            <w:pPr>
              <w:rPr>
                <w:rFonts w:ascii="Verdana" w:hAnsi="Verdana"/>
                <w:sz w:val="18"/>
                <w:szCs w:val="18"/>
              </w:rPr>
            </w:pPr>
          </w:p>
          <w:p w14:paraId="57612FBF" w14:textId="4AE1F67D" w:rsidR="00B87DE6" w:rsidRPr="007556D1" w:rsidRDefault="00B87DE6" w:rsidP="0082179A">
            <w:pPr>
              <w:rPr>
                <w:rFonts w:ascii="Verdana" w:hAnsi="Verdana"/>
                <w:sz w:val="18"/>
                <w:szCs w:val="18"/>
              </w:rPr>
            </w:pPr>
          </w:p>
        </w:tc>
      </w:tr>
      <w:tr w:rsidR="00B87DE6" w:rsidRPr="007556D1" w14:paraId="7ECBA635" w14:textId="123C5F34" w:rsidTr="007556D1">
        <w:tc>
          <w:tcPr>
            <w:tcW w:w="4106" w:type="dxa"/>
          </w:tcPr>
          <w:p w14:paraId="5C380880" w14:textId="14BD081C" w:rsidR="00B87DE6" w:rsidRPr="007556D1" w:rsidRDefault="00B87DE6" w:rsidP="00220D46">
            <w:pPr>
              <w:pStyle w:val="Default"/>
              <w:rPr>
                <w:rFonts w:ascii="Verdana" w:hAnsi="Verdana"/>
                <w:b/>
                <w:bCs/>
                <w:sz w:val="18"/>
                <w:szCs w:val="18"/>
              </w:rPr>
            </w:pPr>
            <w:r w:rsidRPr="007556D1">
              <w:rPr>
                <w:rFonts w:ascii="Verdana" w:hAnsi="Verdana"/>
                <w:b/>
                <w:bCs/>
                <w:sz w:val="18"/>
                <w:szCs w:val="18"/>
              </w:rPr>
              <w:t xml:space="preserve">§ 64 c. </w:t>
            </w:r>
          </w:p>
        </w:tc>
        <w:tc>
          <w:tcPr>
            <w:tcW w:w="9433" w:type="dxa"/>
          </w:tcPr>
          <w:p w14:paraId="6CAAF488" w14:textId="5F72C1CC" w:rsidR="00B87DE6" w:rsidRPr="007556D1" w:rsidRDefault="00B87DE6" w:rsidP="0082179A">
            <w:pPr>
              <w:rPr>
                <w:rFonts w:ascii="Verdana" w:hAnsi="Verdana"/>
                <w:sz w:val="18"/>
                <w:szCs w:val="18"/>
              </w:rPr>
            </w:pPr>
            <w:r w:rsidRPr="007556D1">
              <w:rPr>
                <w:rFonts w:ascii="Verdana" w:hAnsi="Verdana"/>
                <w:sz w:val="18"/>
                <w:szCs w:val="18"/>
              </w:rPr>
              <w:t xml:space="preserve">Vi går som en selvfølge ud fra at der er fuld omkostningsdækning koordinering </w:t>
            </w:r>
            <w:proofErr w:type="spellStart"/>
            <w:r w:rsidRPr="007556D1">
              <w:rPr>
                <w:rFonts w:ascii="Verdana" w:hAnsi="Verdana"/>
                <w:sz w:val="18"/>
                <w:szCs w:val="18"/>
              </w:rPr>
              <w:t>meod</w:t>
            </w:r>
            <w:proofErr w:type="spellEnd"/>
            <w:r w:rsidRPr="007556D1">
              <w:rPr>
                <w:rFonts w:ascii="Verdana" w:hAnsi="Verdana"/>
                <w:sz w:val="18"/>
                <w:szCs w:val="18"/>
              </w:rPr>
              <w:t xml:space="preserve"> takster sikres. Kommunen godkender kommunens osv., hvis det kræver etablering af vandposter.</w:t>
            </w:r>
          </w:p>
        </w:tc>
      </w:tr>
      <w:tr w:rsidR="00B87DE6" w:rsidRPr="007556D1" w14:paraId="40888EAF" w14:textId="412EE04B" w:rsidTr="007556D1">
        <w:tc>
          <w:tcPr>
            <w:tcW w:w="4106" w:type="dxa"/>
          </w:tcPr>
          <w:p w14:paraId="7676AFDC" w14:textId="17C791DB" w:rsidR="00B87DE6" w:rsidRPr="007556D1" w:rsidRDefault="00B87DE6" w:rsidP="0082179A">
            <w:pPr>
              <w:pStyle w:val="Default"/>
              <w:rPr>
                <w:rFonts w:ascii="Verdana" w:hAnsi="Verdana"/>
                <w:b/>
                <w:bCs/>
                <w:sz w:val="18"/>
                <w:szCs w:val="18"/>
              </w:rPr>
            </w:pPr>
            <w:r w:rsidRPr="007556D1">
              <w:rPr>
                <w:rFonts w:ascii="Verdana" w:hAnsi="Verdana"/>
                <w:i/>
                <w:iCs/>
                <w:sz w:val="18"/>
                <w:szCs w:val="18"/>
              </w:rPr>
              <w:t>Generelle bestemmelser om tilsyn</w:t>
            </w:r>
          </w:p>
        </w:tc>
        <w:tc>
          <w:tcPr>
            <w:tcW w:w="9433" w:type="dxa"/>
          </w:tcPr>
          <w:p w14:paraId="42458C9F" w14:textId="77777777" w:rsidR="00B87DE6" w:rsidRPr="007556D1" w:rsidRDefault="00B87DE6" w:rsidP="0082179A">
            <w:pPr>
              <w:rPr>
                <w:rFonts w:ascii="Verdana" w:hAnsi="Verdana"/>
                <w:sz w:val="18"/>
                <w:szCs w:val="18"/>
              </w:rPr>
            </w:pPr>
          </w:p>
        </w:tc>
      </w:tr>
      <w:tr w:rsidR="00B87DE6" w:rsidRPr="007556D1" w14:paraId="2F1302FD" w14:textId="70B8A988" w:rsidTr="007556D1">
        <w:tc>
          <w:tcPr>
            <w:tcW w:w="4106" w:type="dxa"/>
          </w:tcPr>
          <w:p w14:paraId="239652E7" w14:textId="32ECE361" w:rsidR="00B87DE6" w:rsidRPr="007556D1" w:rsidRDefault="00B87DE6" w:rsidP="0082179A">
            <w:pPr>
              <w:pStyle w:val="Default"/>
              <w:rPr>
                <w:rFonts w:ascii="Verdana" w:hAnsi="Verdana"/>
                <w:i/>
                <w:iCs/>
                <w:sz w:val="18"/>
                <w:szCs w:val="18"/>
              </w:rPr>
            </w:pPr>
            <w:r w:rsidRPr="007556D1">
              <w:rPr>
                <w:rFonts w:ascii="Verdana" w:hAnsi="Verdana"/>
                <w:b/>
                <w:bCs/>
                <w:sz w:val="18"/>
                <w:szCs w:val="18"/>
              </w:rPr>
              <w:t xml:space="preserve">§ 65. </w:t>
            </w:r>
          </w:p>
        </w:tc>
        <w:tc>
          <w:tcPr>
            <w:tcW w:w="9433" w:type="dxa"/>
          </w:tcPr>
          <w:p w14:paraId="58F738FD" w14:textId="77777777" w:rsidR="00B87DE6" w:rsidRPr="007556D1" w:rsidRDefault="00B87DE6" w:rsidP="0082179A">
            <w:pPr>
              <w:rPr>
                <w:rFonts w:ascii="Verdana" w:hAnsi="Verdana"/>
                <w:sz w:val="18"/>
                <w:szCs w:val="18"/>
              </w:rPr>
            </w:pPr>
          </w:p>
        </w:tc>
      </w:tr>
      <w:tr w:rsidR="00B87DE6" w:rsidRPr="007556D1" w14:paraId="2F920785" w14:textId="541666E7" w:rsidTr="007556D1">
        <w:tc>
          <w:tcPr>
            <w:tcW w:w="4106" w:type="dxa"/>
          </w:tcPr>
          <w:p w14:paraId="66D36485" w14:textId="1459F63C" w:rsidR="00B87DE6" w:rsidRPr="007556D1" w:rsidRDefault="00B87DE6" w:rsidP="00220D46">
            <w:pPr>
              <w:pStyle w:val="Default"/>
              <w:rPr>
                <w:rFonts w:ascii="Verdana" w:hAnsi="Verdana"/>
                <w:b/>
                <w:bCs/>
                <w:sz w:val="18"/>
                <w:szCs w:val="18"/>
              </w:rPr>
            </w:pPr>
            <w:r w:rsidRPr="007556D1">
              <w:rPr>
                <w:rFonts w:ascii="Verdana" w:hAnsi="Verdana"/>
                <w:b/>
                <w:bCs/>
                <w:sz w:val="18"/>
                <w:szCs w:val="18"/>
              </w:rPr>
              <w:t xml:space="preserve">§ 65 a. </w:t>
            </w:r>
          </w:p>
        </w:tc>
        <w:tc>
          <w:tcPr>
            <w:tcW w:w="9433" w:type="dxa"/>
          </w:tcPr>
          <w:p w14:paraId="56C42645" w14:textId="6D02181A" w:rsidR="00B87DE6" w:rsidRPr="007556D1" w:rsidRDefault="00B87DE6" w:rsidP="0082179A">
            <w:pPr>
              <w:rPr>
                <w:rFonts w:ascii="Verdana" w:hAnsi="Verdana"/>
                <w:sz w:val="18"/>
                <w:szCs w:val="18"/>
              </w:rPr>
            </w:pPr>
            <w:r w:rsidRPr="007556D1">
              <w:rPr>
                <w:rFonts w:ascii="Verdana" w:hAnsi="Verdana"/>
                <w:sz w:val="18"/>
                <w:szCs w:val="18"/>
              </w:rPr>
              <w:t>Regler om tilladelser til afsaltning af havvand</w:t>
            </w:r>
          </w:p>
        </w:tc>
      </w:tr>
      <w:tr w:rsidR="00B87DE6" w:rsidRPr="007556D1" w14:paraId="6BCDAF86" w14:textId="3171A414" w:rsidTr="007556D1">
        <w:tc>
          <w:tcPr>
            <w:tcW w:w="4106" w:type="dxa"/>
          </w:tcPr>
          <w:p w14:paraId="05E9568B" w14:textId="5A480A8D" w:rsidR="00B87DE6" w:rsidRPr="007556D1" w:rsidRDefault="00B87DE6" w:rsidP="0082179A">
            <w:pPr>
              <w:pStyle w:val="Default"/>
              <w:rPr>
                <w:rFonts w:ascii="Verdana" w:hAnsi="Verdana"/>
                <w:b/>
                <w:bCs/>
                <w:sz w:val="18"/>
                <w:szCs w:val="18"/>
              </w:rPr>
            </w:pPr>
            <w:r w:rsidRPr="007556D1">
              <w:rPr>
                <w:rFonts w:ascii="Verdana" w:hAnsi="Verdana"/>
                <w:b/>
                <w:bCs/>
                <w:sz w:val="18"/>
                <w:szCs w:val="18"/>
              </w:rPr>
              <w:t>§ 65 b</w:t>
            </w:r>
            <w:r w:rsidRPr="007556D1">
              <w:rPr>
                <w:rFonts w:ascii="Verdana" w:hAnsi="Verdana"/>
                <w:i/>
                <w:iCs/>
                <w:sz w:val="18"/>
                <w:szCs w:val="18"/>
              </w:rPr>
              <w:t>.</w:t>
            </w:r>
          </w:p>
        </w:tc>
        <w:tc>
          <w:tcPr>
            <w:tcW w:w="9433" w:type="dxa"/>
          </w:tcPr>
          <w:p w14:paraId="63A9B4BD" w14:textId="21AC2808" w:rsidR="00B87DE6" w:rsidRPr="007556D1" w:rsidRDefault="00B87DE6" w:rsidP="00220D46">
            <w:pPr>
              <w:rPr>
                <w:rFonts w:ascii="Verdana" w:hAnsi="Verdana"/>
                <w:sz w:val="18"/>
                <w:szCs w:val="18"/>
              </w:rPr>
            </w:pPr>
            <w:r w:rsidRPr="007556D1">
              <w:rPr>
                <w:rFonts w:ascii="Verdana" w:hAnsi="Verdana"/>
                <w:sz w:val="18"/>
                <w:szCs w:val="18"/>
              </w:rPr>
              <w:t xml:space="preserve">Regler om tilladelser til afsaltning, egenkontrollen kan iværksættes af ministeriet og betales af tilladelsens indehaver. Der står vandforsyning eller tilladelsens indehaver, hvad betyder det? </w:t>
            </w:r>
            <w:proofErr w:type="spellStart"/>
            <w:r w:rsidRPr="007556D1">
              <w:rPr>
                <w:rFonts w:ascii="Verdana" w:hAnsi="Verdana"/>
                <w:sz w:val="18"/>
                <w:szCs w:val="18"/>
              </w:rPr>
              <w:t>PtX</w:t>
            </w:r>
            <w:proofErr w:type="spellEnd"/>
            <w:r w:rsidRPr="007556D1">
              <w:rPr>
                <w:rFonts w:ascii="Verdana" w:hAnsi="Verdana"/>
                <w:sz w:val="18"/>
                <w:szCs w:val="18"/>
              </w:rPr>
              <w:t xml:space="preserve"> – </w:t>
            </w:r>
            <w:proofErr w:type="gramStart"/>
            <w:r w:rsidRPr="007556D1">
              <w:rPr>
                <w:rFonts w:ascii="Verdana" w:hAnsi="Verdana"/>
                <w:sz w:val="18"/>
                <w:szCs w:val="18"/>
              </w:rPr>
              <w:t>virksomheder ?</w:t>
            </w:r>
            <w:proofErr w:type="gramEnd"/>
          </w:p>
        </w:tc>
      </w:tr>
      <w:tr w:rsidR="00B87DE6" w:rsidRPr="007556D1" w14:paraId="1E467529" w14:textId="5D4282E5" w:rsidTr="007556D1">
        <w:tc>
          <w:tcPr>
            <w:tcW w:w="4106" w:type="dxa"/>
          </w:tcPr>
          <w:p w14:paraId="3CD03AB0" w14:textId="746E7B31" w:rsidR="00B87DE6" w:rsidRPr="007556D1" w:rsidRDefault="00B87DE6" w:rsidP="00220D46">
            <w:pPr>
              <w:pStyle w:val="Default"/>
              <w:rPr>
                <w:rFonts w:ascii="Verdana" w:hAnsi="Verdana"/>
                <w:color w:val="FF0000"/>
                <w:sz w:val="18"/>
                <w:szCs w:val="18"/>
              </w:rPr>
            </w:pPr>
            <w:r w:rsidRPr="007556D1">
              <w:rPr>
                <w:rFonts w:ascii="Verdana" w:hAnsi="Verdana"/>
                <w:b/>
                <w:bCs/>
                <w:sz w:val="18"/>
                <w:szCs w:val="18"/>
              </w:rPr>
              <w:t xml:space="preserve">§ 66. </w:t>
            </w:r>
          </w:p>
          <w:p w14:paraId="0F516976" w14:textId="18C9AA40" w:rsidR="00B87DE6" w:rsidRPr="007556D1" w:rsidRDefault="00B87DE6" w:rsidP="0082179A">
            <w:pPr>
              <w:pStyle w:val="Default"/>
              <w:rPr>
                <w:rFonts w:ascii="Verdana" w:hAnsi="Verdana"/>
                <w:color w:val="FF0000"/>
                <w:sz w:val="18"/>
                <w:szCs w:val="18"/>
              </w:rPr>
            </w:pPr>
          </w:p>
        </w:tc>
        <w:tc>
          <w:tcPr>
            <w:tcW w:w="9433" w:type="dxa"/>
          </w:tcPr>
          <w:p w14:paraId="50AB9B35" w14:textId="77777777" w:rsidR="00B87DE6" w:rsidRPr="007556D1" w:rsidRDefault="00B87DE6" w:rsidP="0082179A">
            <w:pPr>
              <w:rPr>
                <w:rFonts w:ascii="Verdana" w:hAnsi="Verdana"/>
                <w:sz w:val="18"/>
                <w:szCs w:val="18"/>
              </w:rPr>
            </w:pPr>
          </w:p>
          <w:p w14:paraId="36CEC6AA" w14:textId="77777777" w:rsidR="00B87DE6" w:rsidRPr="007556D1" w:rsidRDefault="00B87DE6" w:rsidP="0082179A">
            <w:pPr>
              <w:rPr>
                <w:rFonts w:ascii="Verdana" w:hAnsi="Verdana"/>
                <w:sz w:val="18"/>
                <w:szCs w:val="18"/>
              </w:rPr>
            </w:pPr>
          </w:p>
          <w:p w14:paraId="12932023" w14:textId="77777777" w:rsidR="00B87DE6" w:rsidRPr="007556D1" w:rsidRDefault="00B87DE6" w:rsidP="0082179A">
            <w:pPr>
              <w:rPr>
                <w:rFonts w:ascii="Verdana" w:hAnsi="Verdana"/>
                <w:sz w:val="18"/>
                <w:szCs w:val="18"/>
              </w:rPr>
            </w:pPr>
          </w:p>
          <w:p w14:paraId="2FDFA582" w14:textId="77777777" w:rsidR="00B87DE6" w:rsidRPr="007556D1" w:rsidRDefault="00B87DE6" w:rsidP="0082179A">
            <w:pPr>
              <w:rPr>
                <w:rFonts w:ascii="Verdana" w:hAnsi="Verdana"/>
                <w:sz w:val="18"/>
                <w:szCs w:val="18"/>
              </w:rPr>
            </w:pPr>
          </w:p>
          <w:p w14:paraId="0D4F3476" w14:textId="77777777" w:rsidR="00B87DE6" w:rsidRPr="007556D1" w:rsidRDefault="00B87DE6" w:rsidP="0082179A">
            <w:pPr>
              <w:rPr>
                <w:rFonts w:ascii="Verdana" w:hAnsi="Verdana"/>
                <w:sz w:val="18"/>
                <w:szCs w:val="18"/>
              </w:rPr>
            </w:pPr>
          </w:p>
          <w:p w14:paraId="2EA58244" w14:textId="77777777" w:rsidR="00B87DE6" w:rsidRPr="007556D1" w:rsidRDefault="00B87DE6" w:rsidP="0082179A">
            <w:pPr>
              <w:rPr>
                <w:rFonts w:ascii="Verdana" w:hAnsi="Verdana"/>
                <w:sz w:val="18"/>
                <w:szCs w:val="18"/>
              </w:rPr>
            </w:pPr>
          </w:p>
          <w:p w14:paraId="29CA3E1F" w14:textId="77777777" w:rsidR="00B87DE6" w:rsidRPr="007556D1" w:rsidRDefault="00B87DE6" w:rsidP="0082179A">
            <w:pPr>
              <w:rPr>
                <w:rFonts w:ascii="Verdana" w:hAnsi="Verdana"/>
                <w:sz w:val="18"/>
                <w:szCs w:val="18"/>
              </w:rPr>
            </w:pPr>
          </w:p>
          <w:p w14:paraId="69FC11F2" w14:textId="77777777" w:rsidR="00B87DE6" w:rsidRPr="007556D1" w:rsidRDefault="00B87DE6" w:rsidP="0082179A">
            <w:pPr>
              <w:rPr>
                <w:rFonts w:ascii="Verdana" w:hAnsi="Verdana"/>
                <w:sz w:val="18"/>
                <w:szCs w:val="18"/>
              </w:rPr>
            </w:pPr>
          </w:p>
          <w:p w14:paraId="45A5D5B3" w14:textId="77777777" w:rsidR="00B87DE6" w:rsidRPr="007556D1" w:rsidRDefault="00B87DE6" w:rsidP="0082179A">
            <w:pPr>
              <w:rPr>
                <w:rFonts w:ascii="Verdana" w:hAnsi="Verdana"/>
                <w:sz w:val="18"/>
                <w:szCs w:val="18"/>
              </w:rPr>
            </w:pPr>
          </w:p>
          <w:p w14:paraId="6255E92F" w14:textId="77777777" w:rsidR="00B87DE6" w:rsidRPr="007556D1" w:rsidRDefault="00B87DE6" w:rsidP="0082179A">
            <w:pPr>
              <w:rPr>
                <w:rFonts w:ascii="Verdana" w:hAnsi="Verdana"/>
                <w:sz w:val="18"/>
                <w:szCs w:val="18"/>
              </w:rPr>
            </w:pPr>
          </w:p>
          <w:p w14:paraId="61724862" w14:textId="77777777" w:rsidR="00B87DE6" w:rsidRPr="007556D1" w:rsidRDefault="00B87DE6" w:rsidP="0082179A">
            <w:pPr>
              <w:rPr>
                <w:rFonts w:ascii="Verdana" w:hAnsi="Verdana"/>
                <w:sz w:val="18"/>
                <w:szCs w:val="18"/>
              </w:rPr>
            </w:pPr>
          </w:p>
          <w:p w14:paraId="41478F6F" w14:textId="66D3D69B" w:rsidR="00B87DE6" w:rsidRPr="007556D1" w:rsidRDefault="00B87DE6" w:rsidP="0082179A">
            <w:pPr>
              <w:rPr>
                <w:rFonts w:ascii="Verdana" w:hAnsi="Verdana"/>
                <w:sz w:val="18"/>
                <w:szCs w:val="18"/>
              </w:rPr>
            </w:pPr>
          </w:p>
        </w:tc>
      </w:tr>
      <w:tr w:rsidR="00B87DE6" w:rsidRPr="007556D1" w14:paraId="4C203BFA" w14:textId="4E852167" w:rsidTr="007556D1">
        <w:tc>
          <w:tcPr>
            <w:tcW w:w="4106" w:type="dxa"/>
          </w:tcPr>
          <w:p w14:paraId="62EE065A" w14:textId="76881C59" w:rsidR="00B87DE6" w:rsidRPr="007556D1" w:rsidRDefault="00B87DE6" w:rsidP="00220D46">
            <w:pPr>
              <w:pStyle w:val="Default"/>
              <w:rPr>
                <w:rFonts w:ascii="Verdana" w:hAnsi="Verdana"/>
                <w:b/>
                <w:bCs/>
                <w:sz w:val="18"/>
                <w:szCs w:val="18"/>
              </w:rPr>
            </w:pPr>
            <w:r w:rsidRPr="007556D1">
              <w:rPr>
                <w:rFonts w:ascii="Verdana" w:hAnsi="Verdana"/>
                <w:b/>
                <w:bCs/>
                <w:sz w:val="18"/>
                <w:szCs w:val="18"/>
              </w:rPr>
              <w:lastRenderedPageBreak/>
              <w:t xml:space="preserve">§ 66 a. </w:t>
            </w:r>
          </w:p>
          <w:p w14:paraId="009D82FC" w14:textId="4D78F099" w:rsidR="00B87DE6" w:rsidRPr="007556D1" w:rsidRDefault="00B87DE6" w:rsidP="0082179A">
            <w:pPr>
              <w:pStyle w:val="Default"/>
              <w:rPr>
                <w:rFonts w:ascii="Verdana" w:hAnsi="Verdana"/>
                <w:b/>
                <w:bCs/>
                <w:sz w:val="18"/>
                <w:szCs w:val="18"/>
              </w:rPr>
            </w:pPr>
          </w:p>
        </w:tc>
        <w:tc>
          <w:tcPr>
            <w:tcW w:w="9433" w:type="dxa"/>
          </w:tcPr>
          <w:p w14:paraId="35B69B25" w14:textId="3E4DE0D7" w:rsidR="00B87DE6" w:rsidRPr="007556D1" w:rsidRDefault="00B87DE6" w:rsidP="0082179A">
            <w:pPr>
              <w:rPr>
                <w:rFonts w:ascii="Verdana" w:hAnsi="Verdana"/>
                <w:sz w:val="18"/>
                <w:szCs w:val="18"/>
              </w:rPr>
            </w:pPr>
            <w:r w:rsidRPr="007556D1">
              <w:rPr>
                <w:rFonts w:ascii="Verdana" w:hAnsi="Verdana"/>
                <w:sz w:val="18"/>
                <w:szCs w:val="18"/>
              </w:rPr>
              <w:t>Handler kun om vandforsyning på søgående skibe</w:t>
            </w:r>
          </w:p>
        </w:tc>
      </w:tr>
      <w:tr w:rsidR="00B87DE6" w:rsidRPr="007556D1" w14:paraId="65A72D27" w14:textId="376A5464" w:rsidTr="007556D1">
        <w:tc>
          <w:tcPr>
            <w:tcW w:w="4106" w:type="dxa"/>
          </w:tcPr>
          <w:p w14:paraId="35DCA4E9" w14:textId="6BCCE7C6" w:rsidR="00B87DE6" w:rsidRPr="007556D1" w:rsidRDefault="00B87DE6" w:rsidP="0082179A">
            <w:pPr>
              <w:pStyle w:val="Default"/>
              <w:rPr>
                <w:rFonts w:ascii="Verdana" w:hAnsi="Verdana"/>
                <w:b/>
                <w:bCs/>
                <w:sz w:val="18"/>
                <w:szCs w:val="18"/>
              </w:rPr>
            </w:pPr>
            <w:r w:rsidRPr="007556D1">
              <w:rPr>
                <w:rFonts w:ascii="Verdana" w:hAnsi="Verdana"/>
                <w:b/>
                <w:bCs/>
                <w:sz w:val="18"/>
                <w:szCs w:val="18"/>
              </w:rPr>
              <w:t xml:space="preserve">§ 66 b. </w:t>
            </w:r>
          </w:p>
        </w:tc>
        <w:tc>
          <w:tcPr>
            <w:tcW w:w="9433" w:type="dxa"/>
          </w:tcPr>
          <w:p w14:paraId="6CAF3F3B" w14:textId="18A8144B" w:rsidR="00B87DE6" w:rsidRPr="007556D1" w:rsidRDefault="00B87DE6" w:rsidP="0082179A">
            <w:pPr>
              <w:rPr>
                <w:rFonts w:ascii="Verdana" w:hAnsi="Verdana"/>
                <w:sz w:val="18"/>
                <w:szCs w:val="18"/>
              </w:rPr>
            </w:pPr>
            <w:r w:rsidRPr="007556D1">
              <w:rPr>
                <w:rFonts w:ascii="Verdana" w:hAnsi="Verdana"/>
                <w:sz w:val="18"/>
                <w:szCs w:val="18"/>
              </w:rPr>
              <w:t>Handler om søgående skibe</w:t>
            </w:r>
          </w:p>
        </w:tc>
      </w:tr>
      <w:tr w:rsidR="00B87DE6" w:rsidRPr="007556D1" w14:paraId="612F3A62" w14:textId="408022D1" w:rsidTr="007556D1">
        <w:tc>
          <w:tcPr>
            <w:tcW w:w="4106" w:type="dxa"/>
          </w:tcPr>
          <w:p w14:paraId="0E946F70" w14:textId="2EE4830D" w:rsidR="00B87DE6" w:rsidRPr="007556D1" w:rsidRDefault="00B87DE6" w:rsidP="0082179A">
            <w:pPr>
              <w:pStyle w:val="Default"/>
              <w:rPr>
                <w:rFonts w:ascii="Verdana" w:hAnsi="Verdana"/>
                <w:b/>
                <w:bCs/>
                <w:sz w:val="18"/>
                <w:szCs w:val="18"/>
              </w:rPr>
            </w:pPr>
            <w:r w:rsidRPr="007556D1">
              <w:rPr>
                <w:rFonts w:ascii="Verdana" w:hAnsi="Verdana"/>
                <w:b/>
                <w:bCs/>
                <w:sz w:val="18"/>
                <w:szCs w:val="18"/>
              </w:rPr>
              <w:t xml:space="preserve">§ 66 c. </w:t>
            </w:r>
          </w:p>
        </w:tc>
        <w:tc>
          <w:tcPr>
            <w:tcW w:w="9433" w:type="dxa"/>
          </w:tcPr>
          <w:p w14:paraId="6F83D920" w14:textId="3F1F07BD" w:rsidR="00B87DE6" w:rsidRPr="007556D1" w:rsidRDefault="00B87DE6" w:rsidP="0082179A">
            <w:pPr>
              <w:rPr>
                <w:rFonts w:ascii="Verdana" w:hAnsi="Verdana"/>
                <w:sz w:val="18"/>
                <w:szCs w:val="18"/>
              </w:rPr>
            </w:pPr>
            <w:r w:rsidRPr="007556D1">
              <w:rPr>
                <w:rFonts w:ascii="Verdana" w:hAnsi="Verdana"/>
                <w:sz w:val="18"/>
                <w:szCs w:val="18"/>
              </w:rPr>
              <w:t>Henføres også kun til skibene?</w:t>
            </w:r>
          </w:p>
        </w:tc>
      </w:tr>
      <w:tr w:rsidR="00B87DE6" w:rsidRPr="007556D1" w14:paraId="0D7C2A93" w14:textId="23274F11" w:rsidTr="007556D1">
        <w:tc>
          <w:tcPr>
            <w:tcW w:w="4106" w:type="dxa"/>
          </w:tcPr>
          <w:p w14:paraId="341A1A69" w14:textId="534F269A" w:rsidR="00B87DE6" w:rsidRPr="007556D1" w:rsidRDefault="00B87DE6" w:rsidP="0082179A">
            <w:pPr>
              <w:pStyle w:val="Default"/>
              <w:rPr>
                <w:rFonts w:ascii="Verdana" w:hAnsi="Verdana"/>
                <w:b/>
                <w:bCs/>
                <w:sz w:val="18"/>
                <w:szCs w:val="18"/>
              </w:rPr>
            </w:pPr>
            <w:r w:rsidRPr="007556D1">
              <w:rPr>
                <w:rFonts w:ascii="Verdana" w:hAnsi="Verdana"/>
                <w:i/>
                <w:iCs/>
                <w:sz w:val="18"/>
                <w:szCs w:val="18"/>
              </w:rPr>
              <w:t>Undtagelse fra indførelse i Lovtidende af tekniske specifikationer m.v.</w:t>
            </w:r>
          </w:p>
        </w:tc>
        <w:tc>
          <w:tcPr>
            <w:tcW w:w="9433" w:type="dxa"/>
          </w:tcPr>
          <w:p w14:paraId="6873FC71" w14:textId="77777777" w:rsidR="00B87DE6" w:rsidRPr="007556D1" w:rsidRDefault="00B87DE6" w:rsidP="0082179A">
            <w:pPr>
              <w:rPr>
                <w:rFonts w:ascii="Verdana" w:hAnsi="Verdana"/>
                <w:sz w:val="18"/>
                <w:szCs w:val="18"/>
              </w:rPr>
            </w:pPr>
          </w:p>
        </w:tc>
      </w:tr>
      <w:tr w:rsidR="00B87DE6" w:rsidRPr="007556D1" w14:paraId="1D3514BA" w14:textId="48A903BF" w:rsidTr="007556D1">
        <w:tc>
          <w:tcPr>
            <w:tcW w:w="4106" w:type="dxa"/>
          </w:tcPr>
          <w:p w14:paraId="5AF11DCC" w14:textId="19ED38C5" w:rsidR="00B87DE6" w:rsidRPr="007556D1" w:rsidRDefault="00B87DE6" w:rsidP="00220D46">
            <w:pPr>
              <w:pStyle w:val="Default"/>
              <w:rPr>
                <w:rFonts w:ascii="Verdana" w:hAnsi="Verdana"/>
                <w:i/>
                <w:iCs/>
                <w:sz w:val="18"/>
                <w:szCs w:val="18"/>
              </w:rPr>
            </w:pPr>
            <w:r w:rsidRPr="007556D1">
              <w:rPr>
                <w:rFonts w:ascii="Verdana" w:hAnsi="Verdana"/>
                <w:b/>
                <w:bCs/>
                <w:sz w:val="18"/>
                <w:szCs w:val="18"/>
              </w:rPr>
              <w:t xml:space="preserve">§ 71 a. </w:t>
            </w:r>
          </w:p>
        </w:tc>
        <w:tc>
          <w:tcPr>
            <w:tcW w:w="9433" w:type="dxa"/>
          </w:tcPr>
          <w:p w14:paraId="5477A464" w14:textId="309FBDF2" w:rsidR="00B87DE6" w:rsidRPr="007556D1" w:rsidRDefault="00B87DE6" w:rsidP="0082179A">
            <w:pPr>
              <w:rPr>
                <w:rFonts w:ascii="Verdana" w:hAnsi="Verdana"/>
                <w:sz w:val="18"/>
                <w:szCs w:val="18"/>
              </w:rPr>
            </w:pPr>
            <w:r w:rsidRPr="007556D1">
              <w:rPr>
                <w:rFonts w:ascii="Verdana" w:hAnsi="Verdana"/>
                <w:sz w:val="18"/>
                <w:szCs w:val="18"/>
              </w:rPr>
              <w:t>Det er hjemmel til en bekendtgørelse hvoraf det så fremgår detaljeret hvad det er der kan undtages, hvad er baggrunden herfor?</w:t>
            </w:r>
          </w:p>
          <w:p w14:paraId="1781EA99" w14:textId="77777777" w:rsidR="00B87DE6" w:rsidRPr="007556D1" w:rsidRDefault="00B87DE6" w:rsidP="0082179A">
            <w:pPr>
              <w:rPr>
                <w:rFonts w:ascii="Verdana" w:hAnsi="Verdana"/>
                <w:sz w:val="18"/>
                <w:szCs w:val="18"/>
              </w:rPr>
            </w:pPr>
          </w:p>
          <w:p w14:paraId="6F10EF7A" w14:textId="024D5AEE" w:rsidR="00B87DE6" w:rsidRPr="007556D1" w:rsidRDefault="00B87DE6" w:rsidP="0082179A">
            <w:pPr>
              <w:rPr>
                <w:rFonts w:ascii="Verdana" w:hAnsi="Verdana"/>
                <w:sz w:val="18"/>
                <w:szCs w:val="18"/>
              </w:rPr>
            </w:pPr>
            <w:r w:rsidRPr="007556D1">
              <w:rPr>
                <w:rFonts w:ascii="Verdana" w:hAnsi="Verdana"/>
                <w:sz w:val="18"/>
                <w:szCs w:val="18"/>
              </w:rPr>
              <w:t xml:space="preserve">Giver det mening, det er svært at se hvad det betyder, heller ikke selvom man har læst lovbemærkningerne, hvor der </w:t>
            </w:r>
            <w:proofErr w:type="gramStart"/>
            <w:r w:rsidRPr="007556D1">
              <w:rPr>
                <w:rFonts w:ascii="Verdana" w:hAnsi="Verdana"/>
                <w:sz w:val="18"/>
                <w:szCs w:val="18"/>
              </w:rPr>
              <w:t>eksempelvis</w:t>
            </w:r>
            <w:proofErr w:type="gramEnd"/>
            <w:r w:rsidRPr="007556D1">
              <w:rPr>
                <w:rFonts w:ascii="Verdana" w:hAnsi="Verdana"/>
                <w:sz w:val="18"/>
                <w:szCs w:val="18"/>
              </w:rPr>
              <w:t xml:space="preserve"> henføres til rapporter fra FN.</w:t>
            </w:r>
          </w:p>
        </w:tc>
      </w:tr>
      <w:tr w:rsidR="00B87DE6" w:rsidRPr="007556D1" w14:paraId="66310656" w14:textId="32011301" w:rsidTr="007556D1">
        <w:tc>
          <w:tcPr>
            <w:tcW w:w="4106" w:type="dxa"/>
          </w:tcPr>
          <w:p w14:paraId="0398E2E7" w14:textId="5C3DC5A3" w:rsidR="00B87DE6" w:rsidRPr="007556D1" w:rsidRDefault="00B87DE6" w:rsidP="0082179A">
            <w:pPr>
              <w:pStyle w:val="Default"/>
              <w:rPr>
                <w:rFonts w:ascii="Verdana" w:hAnsi="Verdana"/>
                <w:sz w:val="18"/>
                <w:szCs w:val="18"/>
              </w:rPr>
            </w:pPr>
            <w:r w:rsidRPr="007556D1">
              <w:rPr>
                <w:rFonts w:ascii="Verdana" w:hAnsi="Verdana"/>
                <w:sz w:val="18"/>
                <w:szCs w:val="18"/>
              </w:rPr>
              <w:t>Strafbestemmelser og ikrafttræden</w:t>
            </w:r>
          </w:p>
        </w:tc>
        <w:tc>
          <w:tcPr>
            <w:tcW w:w="9433" w:type="dxa"/>
          </w:tcPr>
          <w:p w14:paraId="1B455AD6" w14:textId="77777777" w:rsidR="00B87DE6" w:rsidRPr="007556D1" w:rsidRDefault="00B87DE6" w:rsidP="0082179A">
            <w:pPr>
              <w:rPr>
                <w:rFonts w:ascii="Verdana" w:hAnsi="Verdana"/>
                <w:sz w:val="18"/>
                <w:szCs w:val="18"/>
              </w:rPr>
            </w:pPr>
          </w:p>
        </w:tc>
      </w:tr>
      <w:tr w:rsidR="00B87DE6" w:rsidRPr="007556D1" w14:paraId="5CA3662D" w14:textId="1317BC55" w:rsidTr="007556D1">
        <w:tc>
          <w:tcPr>
            <w:tcW w:w="4106" w:type="dxa"/>
          </w:tcPr>
          <w:p w14:paraId="16D15CF5" w14:textId="26FFC9F6" w:rsidR="00B87DE6" w:rsidRPr="007556D1" w:rsidRDefault="00B87DE6" w:rsidP="00220D46">
            <w:pPr>
              <w:pStyle w:val="Default"/>
              <w:rPr>
                <w:rFonts w:ascii="Verdana" w:hAnsi="Verdana"/>
                <w:sz w:val="18"/>
                <w:szCs w:val="18"/>
              </w:rPr>
            </w:pPr>
            <w:r w:rsidRPr="007556D1">
              <w:rPr>
                <w:rFonts w:ascii="Verdana" w:hAnsi="Verdana"/>
                <w:sz w:val="18"/>
                <w:szCs w:val="18"/>
              </w:rPr>
              <w:t>§ 84</w:t>
            </w:r>
          </w:p>
          <w:p w14:paraId="436BC9FA" w14:textId="355FB0EE" w:rsidR="00B87DE6" w:rsidRPr="007556D1" w:rsidRDefault="00B87DE6" w:rsidP="00220D46">
            <w:pPr>
              <w:pStyle w:val="Default"/>
              <w:rPr>
                <w:rFonts w:ascii="Verdana" w:hAnsi="Verdana"/>
                <w:b/>
                <w:bCs/>
                <w:sz w:val="18"/>
                <w:szCs w:val="18"/>
              </w:rPr>
            </w:pPr>
          </w:p>
        </w:tc>
        <w:tc>
          <w:tcPr>
            <w:tcW w:w="9433" w:type="dxa"/>
          </w:tcPr>
          <w:p w14:paraId="193057FC" w14:textId="5FD47E89" w:rsidR="00B87DE6" w:rsidRPr="007556D1" w:rsidRDefault="00B87DE6" w:rsidP="0082179A">
            <w:pPr>
              <w:rPr>
                <w:rFonts w:ascii="Verdana" w:hAnsi="Verdana"/>
                <w:b/>
                <w:bCs/>
                <w:sz w:val="18"/>
                <w:szCs w:val="18"/>
              </w:rPr>
            </w:pPr>
          </w:p>
        </w:tc>
      </w:tr>
    </w:tbl>
    <w:p w14:paraId="320DBF8A" w14:textId="77777777" w:rsidR="002006A0" w:rsidRPr="007556D1" w:rsidRDefault="002006A0">
      <w:pPr>
        <w:rPr>
          <w:rFonts w:ascii="Verdana" w:hAnsi="Verdana"/>
          <w:sz w:val="18"/>
          <w:szCs w:val="18"/>
        </w:rPr>
      </w:pPr>
    </w:p>
    <w:sectPr w:rsidR="002006A0" w:rsidRPr="007556D1" w:rsidSect="0072138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Clean DC">
    <w:altName w:val="Calibri"/>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310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814CE1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96238373">
    <w:abstractNumId w:val="1"/>
  </w:num>
  <w:num w:numId="2" w16cid:durableId="100651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09"/>
    <w:rsid w:val="00000EFC"/>
    <w:rsid w:val="00010500"/>
    <w:rsid w:val="00012663"/>
    <w:rsid w:val="0002074B"/>
    <w:rsid w:val="000855BD"/>
    <w:rsid w:val="00093EFD"/>
    <w:rsid w:val="000C56F5"/>
    <w:rsid w:val="000E377B"/>
    <w:rsid w:val="000F3BF9"/>
    <w:rsid w:val="00111177"/>
    <w:rsid w:val="00125216"/>
    <w:rsid w:val="001523C9"/>
    <w:rsid w:val="0016585E"/>
    <w:rsid w:val="00167E0D"/>
    <w:rsid w:val="001701FE"/>
    <w:rsid w:val="00175111"/>
    <w:rsid w:val="001A566B"/>
    <w:rsid w:val="001A6488"/>
    <w:rsid w:val="001C40F8"/>
    <w:rsid w:val="001C6394"/>
    <w:rsid w:val="001D2820"/>
    <w:rsid w:val="001D4E7E"/>
    <w:rsid w:val="001E1322"/>
    <w:rsid w:val="001F51A9"/>
    <w:rsid w:val="002006A0"/>
    <w:rsid w:val="002030C3"/>
    <w:rsid w:val="00220D46"/>
    <w:rsid w:val="00231C73"/>
    <w:rsid w:val="002A4632"/>
    <w:rsid w:val="002B08EC"/>
    <w:rsid w:val="002B7330"/>
    <w:rsid w:val="002D2419"/>
    <w:rsid w:val="00306C4A"/>
    <w:rsid w:val="0031422C"/>
    <w:rsid w:val="0032429E"/>
    <w:rsid w:val="0033133A"/>
    <w:rsid w:val="003B5E72"/>
    <w:rsid w:val="003C743F"/>
    <w:rsid w:val="003E7F75"/>
    <w:rsid w:val="003F1ED6"/>
    <w:rsid w:val="003F2D08"/>
    <w:rsid w:val="00421CE4"/>
    <w:rsid w:val="0044667E"/>
    <w:rsid w:val="00446D9D"/>
    <w:rsid w:val="0045734B"/>
    <w:rsid w:val="00473BA5"/>
    <w:rsid w:val="00474CD3"/>
    <w:rsid w:val="00475E67"/>
    <w:rsid w:val="00476D1A"/>
    <w:rsid w:val="004B6B2E"/>
    <w:rsid w:val="004E1543"/>
    <w:rsid w:val="004E2CF4"/>
    <w:rsid w:val="004F78C6"/>
    <w:rsid w:val="0052512A"/>
    <w:rsid w:val="005434B1"/>
    <w:rsid w:val="005549E5"/>
    <w:rsid w:val="00560129"/>
    <w:rsid w:val="00594C3A"/>
    <w:rsid w:val="005D0799"/>
    <w:rsid w:val="005D526D"/>
    <w:rsid w:val="005F664D"/>
    <w:rsid w:val="00601232"/>
    <w:rsid w:val="00625E22"/>
    <w:rsid w:val="006358A7"/>
    <w:rsid w:val="00652F10"/>
    <w:rsid w:val="00656C63"/>
    <w:rsid w:val="00670041"/>
    <w:rsid w:val="0067735E"/>
    <w:rsid w:val="00682891"/>
    <w:rsid w:val="00686735"/>
    <w:rsid w:val="006A21E2"/>
    <w:rsid w:val="0070339C"/>
    <w:rsid w:val="0070494F"/>
    <w:rsid w:val="00706A23"/>
    <w:rsid w:val="00721387"/>
    <w:rsid w:val="007229E1"/>
    <w:rsid w:val="00731BFB"/>
    <w:rsid w:val="00735A4E"/>
    <w:rsid w:val="00743580"/>
    <w:rsid w:val="00743C4A"/>
    <w:rsid w:val="007556D1"/>
    <w:rsid w:val="00757472"/>
    <w:rsid w:val="00780079"/>
    <w:rsid w:val="00787E96"/>
    <w:rsid w:val="00790BAD"/>
    <w:rsid w:val="00796209"/>
    <w:rsid w:val="007A66E2"/>
    <w:rsid w:val="007B6ADC"/>
    <w:rsid w:val="007C7A6A"/>
    <w:rsid w:val="007C7CB0"/>
    <w:rsid w:val="007D254A"/>
    <w:rsid w:val="007E473B"/>
    <w:rsid w:val="007F04A0"/>
    <w:rsid w:val="00820D1E"/>
    <w:rsid w:val="0082179A"/>
    <w:rsid w:val="00874ED8"/>
    <w:rsid w:val="00893C2E"/>
    <w:rsid w:val="008A1591"/>
    <w:rsid w:val="008C1A68"/>
    <w:rsid w:val="008C67E8"/>
    <w:rsid w:val="008F129A"/>
    <w:rsid w:val="009275B3"/>
    <w:rsid w:val="009415F1"/>
    <w:rsid w:val="00946D28"/>
    <w:rsid w:val="00964542"/>
    <w:rsid w:val="00972213"/>
    <w:rsid w:val="00996AE1"/>
    <w:rsid w:val="009B24B4"/>
    <w:rsid w:val="009B2C2F"/>
    <w:rsid w:val="009B32EA"/>
    <w:rsid w:val="009D211E"/>
    <w:rsid w:val="009D4042"/>
    <w:rsid w:val="009F556F"/>
    <w:rsid w:val="009F6511"/>
    <w:rsid w:val="00A06D74"/>
    <w:rsid w:val="00A174C6"/>
    <w:rsid w:val="00A5448E"/>
    <w:rsid w:val="00A57EEA"/>
    <w:rsid w:val="00A70257"/>
    <w:rsid w:val="00A74A77"/>
    <w:rsid w:val="00A847E8"/>
    <w:rsid w:val="00A906E8"/>
    <w:rsid w:val="00A91089"/>
    <w:rsid w:val="00A96391"/>
    <w:rsid w:val="00AC3508"/>
    <w:rsid w:val="00AC73D9"/>
    <w:rsid w:val="00AD55A3"/>
    <w:rsid w:val="00AD60D8"/>
    <w:rsid w:val="00AD6711"/>
    <w:rsid w:val="00AD680C"/>
    <w:rsid w:val="00AE1840"/>
    <w:rsid w:val="00AF2ECA"/>
    <w:rsid w:val="00B0403E"/>
    <w:rsid w:val="00B04102"/>
    <w:rsid w:val="00B17D72"/>
    <w:rsid w:val="00B45831"/>
    <w:rsid w:val="00B537B3"/>
    <w:rsid w:val="00B657DD"/>
    <w:rsid w:val="00B70773"/>
    <w:rsid w:val="00B87B3C"/>
    <w:rsid w:val="00B87DE6"/>
    <w:rsid w:val="00B94757"/>
    <w:rsid w:val="00B970EF"/>
    <w:rsid w:val="00BC366D"/>
    <w:rsid w:val="00BE6CF0"/>
    <w:rsid w:val="00BF2251"/>
    <w:rsid w:val="00BF44DA"/>
    <w:rsid w:val="00C06F46"/>
    <w:rsid w:val="00C24090"/>
    <w:rsid w:val="00C27430"/>
    <w:rsid w:val="00C309FB"/>
    <w:rsid w:val="00C35CF8"/>
    <w:rsid w:val="00C55D81"/>
    <w:rsid w:val="00C8470A"/>
    <w:rsid w:val="00C9165A"/>
    <w:rsid w:val="00C9433F"/>
    <w:rsid w:val="00CB3800"/>
    <w:rsid w:val="00CB45BC"/>
    <w:rsid w:val="00CB5710"/>
    <w:rsid w:val="00CC36EA"/>
    <w:rsid w:val="00CC4230"/>
    <w:rsid w:val="00CE542E"/>
    <w:rsid w:val="00D00B2A"/>
    <w:rsid w:val="00D1222A"/>
    <w:rsid w:val="00D53A9C"/>
    <w:rsid w:val="00D6238E"/>
    <w:rsid w:val="00D743A8"/>
    <w:rsid w:val="00D76004"/>
    <w:rsid w:val="00D84381"/>
    <w:rsid w:val="00DA42A0"/>
    <w:rsid w:val="00DB5F09"/>
    <w:rsid w:val="00DB76D7"/>
    <w:rsid w:val="00E11197"/>
    <w:rsid w:val="00E12BB5"/>
    <w:rsid w:val="00E62EDC"/>
    <w:rsid w:val="00E92CD0"/>
    <w:rsid w:val="00E95C62"/>
    <w:rsid w:val="00EA5E0A"/>
    <w:rsid w:val="00EC3043"/>
    <w:rsid w:val="00EC77A4"/>
    <w:rsid w:val="00ED30E7"/>
    <w:rsid w:val="00EF303D"/>
    <w:rsid w:val="00EF7CAA"/>
    <w:rsid w:val="00F01CC5"/>
    <w:rsid w:val="00F10BBB"/>
    <w:rsid w:val="00F146D6"/>
    <w:rsid w:val="00F1557D"/>
    <w:rsid w:val="00F16729"/>
    <w:rsid w:val="00F21701"/>
    <w:rsid w:val="00F51D16"/>
    <w:rsid w:val="00F56E6E"/>
    <w:rsid w:val="00FC43EE"/>
    <w:rsid w:val="00FE583D"/>
    <w:rsid w:val="00FE9486"/>
    <w:rsid w:val="01642AE0"/>
    <w:rsid w:val="01F8BFB0"/>
    <w:rsid w:val="02FFFB41"/>
    <w:rsid w:val="0381324B"/>
    <w:rsid w:val="051D02AC"/>
    <w:rsid w:val="06A2D2D9"/>
    <w:rsid w:val="07652AEA"/>
    <w:rsid w:val="0C7CDFF5"/>
    <w:rsid w:val="0F1C7F30"/>
    <w:rsid w:val="0F887F54"/>
    <w:rsid w:val="1346C0EB"/>
    <w:rsid w:val="19271D5E"/>
    <w:rsid w:val="192F619A"/>
    <w:rsid w:val="198D4E15"/>
    <w:rsid w:val="1AE1322F"/>
    <w:rsid w:val="1C207058"/>
    <w:rsid w:val="1C57BCBE"/>
    <w:rsid w:val="22AA427D"/>
    <w:rsid w:val="22B4D747"/>
    <w:rsid w:val="25E5C65A"/>
    <w:rsid w:val="2BBBF05B"/>
    <w:rsid w:val="2DEE13D7"/>
    <w:rsid w:val="321985FD"/>
    <w:rsid w:val="32469241"/>
    <w:rsid w:val="33C70240"/>
    <w:rsid w:val="340ACA3F"/>
    <w:rsid w:val="38AD28A5"/>
    <w:rsid w:val="3B6E0187"/>
    <w:rsid w:val="3CD13525"/>
    <w:rsid w:val="3CED441A"/>
    <w:rsid w:val="3D054A25"/>
    <w:rsid w:val="3EA5A249"/>
    <w:rsid w:val="40EA4966"/>
    <w:rsid w:val="4337CB89"/>
    <w:rsid w:val="484D10E5"/>
    <w:rsid w:val="48C045B8"/>
    <w:rsid w:val="5151D6DB"/>
    <w:rsid w:val="52E39CF8"/>
    <w:rsid w:val="53CF35F7"/>
    <w:rsid w:val="54F12A61"/>
    <w:rsid w:val="556B0658"/>
    <w:rsid w:val="5841B0E5"/>
    <w:rsid w:val="5FFF5C3A"/>
    <w:rsid w:val="6232BE1D"/>
    <w:rsid w:val="6336FCFC"/>
    <w:rsid w:val="6B091330"/>
    <w:rsid w:val="6D3BCBBD"/>
    <w:rsid w:val="6E79AFA3"/>
    <w:rsid w:val="70158004"/>
    <w:rsid w:val="71FF6442"/>
    <w:rsid w:val="75B4D68D"/>
    <w:rsid w:val="7658C025"/>
    <w:rsid w:val="77FF2550"/>
    <w:rsid w:val="79584FAC"/>
    <w:rsid w:val="7B8F48C2"/>
    <w:rsid w:val="7CF9C583"/>
    <w:rsid w:val="7CFBF092"/>
    <w:rsid w:val="7E646DDD"/>
    <w:rsid w:val="7E97C0F3"/>
    <w:rsid w:val="7EAD4AA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1D66"/>
  <w15:chartTrackingRefBased/>
  <w15:docId w15:val="{53E5C2B3-BB6A-480A-8E64-3C3C0842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B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074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nva documents" ma:contentTypeID="0x010100451820A36EB5A04A9FA4B7406B62FB59000586AF789FA9144595CD6BFD0DB6A5F8" ma:contentTypeVersion="17" ma:contentTypeDescription="Create a new document." ma:contentTypeScope="" ma:versionID="44277ef243ce62745e3d9e6e29b4789d">
  <xsd:schema xmlns:xsd="http://www.w3.org/2001/XMLSchema" xmlns:xs="http://www.w3.org/2001/XMLSchema" xmlns:p="http://schemas.microsoft.com/office/2006/metadata/properties" xmlns:ns2="85439af3-7d87-4228-a591-9885807d76d2" xmlns:ns3="7b905fab-6916-497b-9ff3-434de14b7d0f" targetNamespace="http://schemas.microsoft.com/office/2006/metadata/properties" ma:root="true" ma:fieldsID="67dc9f38c7832f04f7c53edb4315f04a" ns2:_="" ns3:_="">
    <xsd:import namespace="85439af3-7d87-4228-a591-9885807d76d2"/>
    <xsd:import namespace="7b905fab-6916-497b-9ff3-434de14b7d0f"/>
    <xsd:element name="properties">
      <xsd:complexType>
        <xsd:sequence>
          <xsd:element name="documentManagement">
            <xsd:complexType>
              <xsd:all>
                <xsd:element ref="ns2:Danva_Emneord" minOccurs="0"/>
                <xsd:element ref="ns2:Danva_Dokumenttype"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39af3-7d87-4228-a591-9885807d76d2" elementFormDefault="qualified">
    <xsd:import namespace="http://schemas.microsoft.com/office/2006/documentManagement/types"/>
    <xsd:import namespace="http://schemas.microsoft.com/office/infopath/2007/PartnerControls"/>
    <xsd:element name="Danva_Emneord" ma:index="8" nillable="true" ma:displayName="Danva Emneord" ma:default="" ma:internalName="Danva_x0020_Emneord">
      <xsd:complexType>
        <xsd:complexContent>
          <xsd:extension base="dms:MultiChoice">
            <xsd:sequence>
              <xsd:element name="Value" maxOccurs="unbounded" minOccurs="0" nillable="true">
                <xsd:simpleType>
                  <xsd:restriction base="dms:Choice">
                    <xsd:enumeration value="Grundvand"/>
                    <xsd:enumeration value="Drikkevand"/>
                    <xsd:enumeration value="Spildevand"/>
                    <xsd:enumeration value="Afløb"/>
                    <xsd:enumeration value="Lovgivning"/>
                    <xsd:enumeration value="Innovation"/>
                    <xsd:enumeration value="Internationalt samarbejde"/>
                    <xsd:enumeration value="Klima"/>
                    <xsd:enumeration value="Klimatilpasning"/>
                    <xsd:enumeration value="Samarbejdspartnere"/>
                    <xsd:enumeration value="Administration"/>
                  </xsd:restriction>
                </xsd:simpleType>
              </xsd:element>
            </xsd:sequence>
          </xsd:extension>
        </xsd:complexContent>
      </xsd:complexType>
    </xsd:element>
    <xsd:element name="Danva_Dokumenttype" ma:index="9" nillable="true" ma:displayName="Dokumenttype" ma:default="" ma:format="Dropdown" ma:internalName="Danva_x0020_Dokumenttype">
      <xsd:simpleType>
        <xsd:restriction base="dms:Choice">
          <xsd:enumeration value="ATR skema – budgetændring"/>
          <xsd:enumeration value="ATR skema"/>
          <xsd:enumeration value="Bilag"/>
          <xsd:enumeration value="Brev/E-mail"/>
          <xsd:enumeration value="Dagsorden/referat"/>
          <xsd:enumeration value="Drøftelse ved møder"/>
          <xsd:enumeration value="DANVA Flyer"/>
          <xsd:enumeration value="Indstilling til beslutning"/>
          <xsd:enumeration value="Memo"/>
          <xsd:enumeration value="Mundtlig orientering"/>
          <xsd:enumeration value="Notat"/>
          <xsd:enumeration value="Procedurebeskrivelse"/>
          <xsd:enumeration value="Rapport"/>
          <xsd:enumeration value="Pjecer"/>
          <xsd:enumeration value="Foldere"/>
          <xsd:enumeration value="Artikel"/>
          <xsd:enumeration value="Pressemeddelelse"/>
          <xsd:enumeration value="Skriftlig orientering"/>
          <xsd:enumeration value="Vejledning"/>
          <xsd:enumeration value="Kontrakter"/>
          <xsd:enumeration value="PowerPoints"/>
        </xsd:restriction>
      </xsd:simple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05fab-6916-497b-9ff3-434de14b7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nva_Dokumenttype xmlns="85439af3-7d87-4228-a591-9885807d76d2" xsi:nil="true"/>
    <Danva_Emneord xmlns="85439af3-7d87-4228-a591-9885807d76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EBFC-392B-4BD8-9965-0680743E8E79}"/>
</file>

<file path=customXml/itemProps2.xml><?xml version="1.0" encoding="utf-8"?>
<ds:datastoreItem xmlns:ds="http://schemas.openxmlformats.org/officeDocument/2006/customXml" ds:itemID="{546B999B-FD32-4497-8788-75C29FE141C7}">
  <ds:schemaRefs>
    <ds:schemaRef ds:uri="http://schemas.microsoft.com/office/2006/metadata/properties"/>
    <ds:schemaRef ds:uri="http://schemas.microsoft.com/office/infopath/2007/PartnerControls"/>
    <ds:schemaRef ds:uri="85439af3-7d87-4228-a591-9885807d76d2"/>
  </ds:schemaRefs>
</ds:datastoreItem>
</file>

<file path=customXml/itemProps3.xml><?xml version="1.0" encoding="utf-8"?>
<ds:datastoreItem xmlns:ds="http://schemas.openxmlformats.org/officeDocument/2006/customXml" ds:itemID="{BB1BDB5D-0265-4488-916D-4D0BDD32227A}">
  <ds:schemaRefs>
    <ds:schemaRef ds:uri="http://schemas.microsoft.com/sharepoint/v3/contenttype/forms"/>
  </ds:schemaRefs>
</ds:datastoreItem>
</file>

<file path=customXml/itemProps4.xml><?xml version="1.0" encoding="utf-8"?>
<ds:datastoreItem xmlns:ds="http://schemas.openxmlformats.org/officeDocument/2006/customXml" ds:itemID="{E4778668-89C9-4CDC-98D3-946AB0BF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2095</Words>
  <Characters>12780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Skræm</dc:creator>
  <cp:keywords/>
  <dc:description/>
  <cp:lastModifiedBy>Dorte Skræm</cp:lastModifiedBy>
  <cp:revision>4</cp:revision>
  <dcterms:created xsi:type="dcterms:W3CDTF">2023-10-09T08:01:00Z</dcterms:created>
  <dcterms:modified xsi:type="dcterms:W3CDTF">2023-10-10T12:12:00Z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0x010100451820A36EB5A04A9FA4B7406B62FB59000586AF789FA9144595CD6BFD0DB6A5F8</vt:lpwstr>
  </property>
</Properties>
</file>